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6090" w:leader="none"/>
          <w:tab w:val="left" w:pos="7200" w:leader="none"/>
        </w:tabs>
        <w:spacing w:before="0" w:after="0" w:line="240"/>
        <w:ind w:right="0" w:left="504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УТВЕРЖДЕНО  </w:t>
        <w:tab/>
      </w:r>
    </w:p>
    <w:p>
      <w:pPr>
        <w:tabs>
          <w:tab w:val="left" w:pos="6090" w:leader="none"/>
          <w:tab w:val="left" w:pos="7200" w:leader="none"/>
        </w:tabs>
        <w:spacing w:before="0" w:after="0" w:line="240"/>
        <w:ind w:right="0" w:left="504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Постановлением</w:t>
      </w:r>
    </w:p>
    <w:p>
      <w:pPr>
        <w:tabs>
          <w:tab w:val="left" w:pos="6090" w:leader="none"/>
          <w:tab w:val="left" w:pos="7200" w:leader="none"/>
        </w:tabs>
        <w:spacing w:before="0" w:after="0" w:line="240"/>
        <w:ind w:right="0" w:left="504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администрации Новотитаровского сельского поселения</w:t>
      </w:r>
    </w:p>
    <w:p>
      <w:pPr>
        <w:tabs>
          <w:tab w:val="left" w:pos="6090" w:leader="none"/>
          <w:tab w:val="left" w:pos="7200" w:leader="none"/>
        </w:tabs>
        <w:spacing w:before="0" w:after="0" w:line="240"/>
        <w:ind w:right="0" w:left="504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Динского района</w:t>
      </w:r>
    </w:p>
    <w:p>
      <w:pPr>
        <w:tabs>
          <w:tab w:val="left" w:pos="6090" w:leader="none"/>
          <w:tab w:val="left" w:pos="7200" w:leader="none"/>
        </w:tabs>
        <w:spacing w:before="0" w:after="0" w:line="240"/>
        <w:ind w:right="0" w:left="504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Краснодарского края</w:t>
      </w:r>
    </w:p>
    <w:p>
      <w:pPr>
        <w:tabs>
          <w:tab w:val="left" w:pos="6090" w:leader="none"/>
          <w:tab w:val="left" w:pos="7200" w:leader="none"/>
        </w:tabs>
        <w:spacing w:before="0" w:after="0" w:line="240"/>
        <w:ind w:right="0" w:left="504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 02.10.2018 № 386</w:t>
      </w:r>
    </w:p>
    <w:p>
      <w:pPr>
        <w:tabs>
          <w:tab w:val="left" w:pos="6090" w:leader="none"/>
          <w:tab w:val="left" w:pos="7200" w:leader="none"/>
        </w:tabs>
        <w:spacing w:before="0" w:after="0" w:line="240"/>
        <w:ind w:right="0" w:left="5040" w:firstLine="0"/>
        <w:jc w:val="center"/>
        <w:rPr>
          <w:rFonts w:ascii="Times New Roman" w:hAnsi="Times New Roman" w:cs="Times New Roman" w:eastAsia="Times New Roman"/>
          <w:color w:val="auto"/>
          <w:spacing w:val="0"/>
          <w:position w:val="0"/>
          <w:sz w:val="28"/>
          <w:shd w:fill="auto" w:val="clear"/>
        </w:rPr>
      </w:pPr>
    </w:p>
    <w:p>
      <w:pPr>
        <w:tabs>
          <w:tab w:val="left" w:pos="7020" w:leader="none"/>
        </w:tabs>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5387" w:firstLine="0"/>
        <w:jc w:val="left"/>
        <w:rPr>
          <w:rFonts w:ascii="Times New Roman" w:hAnsi="Times New Roman" w:cs="Times New Roman" w:eastAsia="Times New Roman"/>
          <w:b/>
          <w:i/>
          <w:color w:val="auto"/>
          <w:spacing w:val="0"/>
          <w:position w:val="0"/>
          <w:sz w:val="28"/>
          <w:shd w:fill="auto" w:val="clear"/>
        </w:rPr>
      </w:pPr>
    </w:p>
    <w:p>
      <w:pPr>
        <w:spacing w:before="0" w:after="0" w:line="240"/>
        <w:ind w:right="0" w:left="5387" w:firstLine="0"/>
        <w:jc w:val="left"/>
        <w:rPr>
          <w:rFonts w:ascii="Times New Roman" w:hAnsi="Times New Roman" w:cs="Times New Roman" w:eastAsia="Times New Roman"/>
          <w:b/>
          <w:i/>
          <w:color w:val="auto"/>
          <w:spacing w:val="0"/>
          <w:position w:val="0"/>
          <w:sz w:val="28"/>
          <w:shd w:fill="auto" w:val="clear"/>
        </w:rPr>
      </w:pPr>
    </w:p>
    <w:p>
      <w:pPr>
        <w:spacing w:before="0" w:after="0" w:line="240"/>
        <w:ind w:right="0" w:left="5387" w:firstLine="0"/>
        <w:jc w:val="left"/>
        <w:rPr>
          <w:rFonts w:ascii="Times New Roman" w:hAnsi="Times New Roman" w:cs="Times New Roman" w:eastAsia="Times New Roman"/>
          <w:b/>
          <w:i/>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b/>
          <w:i/>
          <w:color w:val="auto"/>
          <w:spacing w:val="0"/>
          <w:position w:val="0"/>
          <w:sz w:val="28"/>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32"/>
          <w:shd w:fill="FFFFFF" w:val="clear"/>
        </w:rPr>
      </w:pPr>
    </w:p>
    <w:p>
      <w:pPr>
        <w:keepNext w:val="true"/>
        <w:keepLines w:val="true"/>
        <w:spacing w:before="220" w:after="60" w:line="36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aps w:val="true"/>
          <w:color w:val="auto"/>
          <w:spacing w:val="0"/>
          <w:position w:val="0"/>
          <w:sz w:val="28"/>
          <w:shd w:fill="auto" w:val="clear"/>
        </w:rPr>
        <w:t xml:space="preserve">комплексная схема </w:t>
      </w:r>
    </w:p>
    <w:p>
      <w:pPr>
        <w:keepNext w:val="true"/>
        <w:keepLines w:val="true"/>
        <w:spacing w:before="220" w:after="60" w:line="36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aps w:val="true"/>
          <w:color w:val="auto"/>
          <w:spacing w:val="0"/>
          <w:position w:val="0"/>
          <w:sz w:val="28"/>
          <w:shd w:fill="auto" w:val="clear"/>
        </w:rPr>
        <w:t xml:space="preserve">организации дорожного движения</w:t>
      </w:r>
    </w:p>
    <w:p>
      <w:pPr>
        <w:keepNext w:val="true"/>
        <w:keepLines w:val="true"/>
        <w:spacing w:before="220" w:after="60" w:line="36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aps w:val="true"/>
          <w:color w:val="auto"/>
          <w:spacing w:val="0"/>
          <w:position w:val="0"/>
          <w:sz w:val="28"/>
          <w:shd w:fill="auto" w:val="clear"/>
        </w:rPr>
        <w:t xml:space="preserve">новотитаровского сельского поселения</w:t>
      </w:r>
    </w:p>
    <w:p>
      <w:pPr>
        <w:keepNext w:val="true"/>
        <w:keepLines w:val="true"/>
        <w:spacing w:before="220" w:after="60" w:line="36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aps w:val="true"/>
          <w:color w:val="auto"/>
          <w:spacing w:val="0"/>
          <w:position w:val="0"/>
          <w:sz w:val="28"/>
          <w:shd w:fill="auto" w:val="clear"/>
        </w:rPr>
        <w:t xml:space="preserve">динского района краснодарского края </w:t>
      </w:r>
    </w:p>
    <w:p>
      <w:pPr>
        <w:keepNext w:val="true"/>
        <w:keepLines w:val="true"/>
        <w:spacing w:before="220" w:after="60" w:line="36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aps w:val="true"/>
          <w:color w:val="auto"/>
          <w:spacing w:val="0"/>
          <w:position w:val="0"/>
          <w:sz w:val="28"/>
          <w:shd w:fill="auto" w:val="clear"/>
        </w:rPr>
        <w:t xml:space="preserve">НА ПЕРИОД С 2018 ПО 2032 годы</w:t>
      </w:r>
    </w:p>
    <w:p>
      <w:pPr>
        <w:spacing w:before="0" w:after="0" w:line="240"/>
        <w:ind w:right="-851" w:left="-1276"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ТОМ 2</w:t>
      </w:r>
    </w:p>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РАЗРАБОТКА ПРОГРАММ МЕРОПРИЯТИЙ"</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i/>
          <w:color w:val="auto"/>
          <w:spacing w:val="0"/>
          <w:position w:val="0"/>
          <w:sz w:val="28"/>
          <w:shd w:fill="auto" w:val="clear"/>
        </w:rPr>
      </w:pPr>
    </w:p>
    <w:p>
      <w:pPr>
        <w:tabs>
          <w:tab w:val="left" w:pos="7225"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ЗАКАЗЧИК:                                                                     РАЗРАБОТЧИК:</w:t>
      </w:r>
    </w:p>
    <w:p>
      <w:pPr>
        <w:tabs>
          <w:tab w:val="left" w:pos="7225"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Глава администрации                                                   Директор</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ab/>
      </w:r>
    </w:p>
    <w:p>
      <w:pPr>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ab/>
      </w:r>
    </w:p>
    <w:p>
      <w:pPr>
        <w:tabs>
          <w:tab w:val="left" w:pos="7187"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   _____________ </w:t>
      </w:r>
      <w:r>
        <w:rPr>
          <w:rFonts w:ascii="Times New Roman" w:hAnsi="Times New Roman" w:cs="Times New Roman" w:eastAsia="Times New Roman"/>
          <w:b/>
          <w:color w:val="auto"/>
          <w:spacing w:val="0"/>
          <w:position w:val="0"/>
          <w:sz w:val="28"/>
          <w:shd w:fill="auto" w:val="clear"/>
        </w:rPr>
        <w:t xml:space="preserve">С.К. Кошман                              _______________ И.И. Исхаков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СОДЕРЖАНИЕ</w:t>
      </w:r>
    </w:p>
    <w:tbl>
      <w:tblPr>
        <w:tblInd w:w="250" w:type="dxa"/>
      </w:tblPr>
      <w:tblGrid>
        <w:gridCol w:w="8789"/>
        <w:gridCol w:w="850"/>
      </w:tblGrid>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Введение</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Подготовка принципиальных предложений и решений по основным мероприятиям ОДД</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Проведение укрупненной оценки  предлагаемых вариантов проектирования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Мероприятия по ОДД</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Обеспечение транспортной и пешеходной связанности территории</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3.2. </w:t>
            </w:r>
            <w:r>
              <w:rPr>
                <w:rFonts w:ascii="Times New Roman" w:hAnsi="Times New Roman" w:cs="Times New Roman" w:eastAsia="Times New Roman"/>
                <w:color w:val="auto"/>
                <w:spacing w:val="0"/>
                <w:position w:val="0"/>
                <w:sz w:val="28"/>
                <w:shd w:fill="auto" w:val="clear"/>
              </w:rPr>
              <w:t xml:space="preserve">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3.3 </w:t>
            </w:r>
            <w:r>
              <w:rPr>
                <w:rFonts w:ascii="Times New Roman" w:hAnsi="Times New Roman" w:cs="Times New Roman" w:eastAsia="Times New Roman"/>
                <w:color w:val="auto"/>
                <w:spacing w:val="0"/>
                <w:position w:val="0"/>
                <w:sz w:val="28"/>
                <w:shd w:fill="auto" w:val="clear"/>
              </w:rPr>
              <w:t xml:space="preserve">Распределение транспортных потоков по сети дорог</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3.4 </w:t>
            </w:r>
            <w:r>
              <w:rPr>
                <w:rFonts w:ascii="Times New Roman" w:hAnsi="Times New Roman" w:cs="Times New Roman" w:eastAsia="Times New Roman"/>
                <w:color w:val="auto"/>
                <w:spacing w:val="0"/>
                <w:position w:val="0"/>
                <w:sz w:val="28"/>
                <w:shd w:fill="auto" w:val="clear"/>
              </w:rPr>
              <w:t xml:space="preserve">Разработка, внедрение и использование автоматизированной системы управления дорожным движением (далее – АСУДД), ее функции и этапы внедрения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3.5 </w:t>
            </w:r>
            <w:r>
              <w:rPr>
                <w:rFonts w:ascii="Times New Roman" w:hAnsi="Times New Roman" w:cs="Times New Roman" w:eastAsia="Times New Roman"/>
                <w:color w:val="auto"/>
                <w:spacing w:val="0"/>
                <w:position w:val="0"/>
                <w:sz w:val="28"/>
                <w:shd w:fill="auto" w:val="clear"/>
              </w:rPr>
              <w:t xml:space="preserve">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3.6.  </w:t>
            </w:r>
            <w:r>
              <w:rPr>
                <w:rFonts w:ascii="Times New Roman" w:hAnsi="Times New Roman" w:cs="Times New Roman" w:eastAsia="Times New Roman"/>
                <w:color w:val="auto"/>
                <w:spacing w:val="0"/>
                <w:position w:val="0"/>
                <w:sz w:val="28"/>
                <w:shd w:fill="auto" w:val="clear"/>
              </w:rPr>
              <w:t xml:space="preserve">Совершенствование системы информационного обеспечения участников дорожного движения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3.7 </w:t>
            </w:r>
            <w:r>
              <w:rPr>
                <w:rFonts w:ascii="Times New Roman" w:hAnsi="Times New Roman" w:cs="Times New Roman" w:eastAsia="Times New Roman"/>
                <w:color w:val="auto"/>
                <w:spacing w:val="0"/>
                <w:position w:val="0"/>
                <w:sz w:val="28"/>
                <w:shd w:fill="auto" w:val="clear"/>
              </w:rPr>
              <w:t xml:space="preserve">Применение реверсивного движения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3.8 </w:t>
            </w:r>
            <w:r>
              <w:rPr>
                <w:rFonts w:ascii="Times New Roman" w:hAnsi="Times New Roman" w:cs="Times New Roman" w:eastAsia="Times New Roman"/>
                <w:color w:val="auto"/>
                <w:spacing w:val="0"/>
                <w:position w:val="0"/>
                <w:sz w:val="28"/>
                <w:shd w:fill="auto" w:val="clear"/>
              </w:rPr>
              <w:t xml:space="preserve">Организация движения маршрутных транспортных средств, включая обеспечение приоритетных условий их движения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3.9 </w:t>
            </w:r>
            <w:r>
              <w:rPr>
                <w:rFonts w:ascii="Times New Roman" w:hAnsi="Times New Roman" w:cs="Times New Roman" w:eastAsia="Times New Roman"/>
                <w:color w:val="auto"/>
                <w:spacing w:val="0"/>
                <w:position w:val="0"/>
                <w:sz w:val="28"/>
                <w:shd w:fill="auto" w:val="clear"/>
              </w:rPr>
              <w:t xml:space="preserve">Организация пропуска транзитных транспортных потоков</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3.10 </w:t>
            </w:r>
            <w:r>
              <w:rPr>
                <w:rFonts w:ascii="Times New Roman" w:hAnsi="Times New Roman" w:cs="Times New Roman" w:eastAsia="Times New Roman"/>
                <w:color w:val="auto"/>
                <w:spacing w:val="0"/>
                <w:position w:val="0"/>
                <w:sz w:val="28"/>
                <w:shd w:fill="auto" w:val="clear"/>
              </w:rPr>
              <w:t xml:space="preserve">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3.11 </w:t>
            </w:r>
            <w:r>
              <w:rPr>
                <w:rFonts w:ascii="Times New Roman" w:hAnsi="Times New Roman" w:cs="Times New Roman" w:eastAsia="Times New Roman"/>
                <w:color w:val="auto"/>
                <w:spacing w:val="0"/>
                <w:position w:val="0"/>
                <w:sz w:val="28"/>
                <w:shd w:fill="auto" w:val="clear"/>
              </w:rPr>
              <w:t xml:space="preserve">Ограничению доступа транспортных средств на определенные территории</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3.12 </w:t>
            </w:r>
            <w:r>
              <w:rPr>
                <w:rFonts w:ascii="Times New Roman" w:hAnsi="Times New Roman" w:cs="Times New Roman" w:eastAsia="Times New Roman"/>
                <w:color w:val="auto"/>
                <w:spacing w:val="0"/>
                <w:position w:val="0"/>
                <w:sz w:val="28"/>
                <w:shd w:fill="auto" w:val="clear"/>
              </w:rPr>
              <w:t xml:space="preserve">Скоростной режим движения транспортных средств на отдельных участках дорог или в различных зонах</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3.13 </w:t>
            </w:r>
            <w:r>
              <w:rPr>
                <w:rFonts w:ascii="Times New Roman" w:hAnsi="Times New Roman" w:cs="Times New Roman" w:eastAsia="Times New Roman"/>
                <w:color w:val="auto"/>
                <w:spacing w:val="0"/>
                <w:position w:val="0"/>
                <w:sz w:val="28"/>
                <w:shd w:fill="auto" w:val="clear"/>
              </w:rPr>
              <w:t xml:space="preserve">Формирование единого парковочного пространства (размещение гаражей, стоянок, парковок и иных подобных сооружений)</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3.14. </w:t>
            </w:r>
            <w:r>
              <w:rPr>
                <w:rFonts w:ascii="Times New Roman" w:hAnsi="Times New Roman" w:cs="Times New Roman" w:eastAsia="Times New Roman"/>
                <w:color w:val="auto"/>
                <w:spacing w:val="0"/>
                <w:position w:val="0"/>
                <w:sz w:val="28"/>
                <w:shd w:fill="auto" w:val="clear"/>
              </w:rPr>
              <w:t xml:space="preserve">Организация одностороннего движения транспортных средств на дорогах или их участках</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3.15 </w:t>
            </w:r>
            <w:r>
              <w:rPr>
                <w:rFonts w:ascii="Times New Roman" w:hAnsi="Times New Roman" w:cs="Times New Roman" w:eastAsia="Times New Roman"/>
                <w:color w:val="auto"/>
                <w:spacing w:val="0"/>
                <w:position w:val="0"/>
                <w:sz w:val="28"/>
                <w:shd w:fill="auto" w:val="clear"/>
              </w:rPr>
              <w:t xml:space="preserve">Перечень пересечений, примыканий и участков дорог, требующих введения светофорного регулирования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3.16 </w:t>
            </w:r>
            <w:r>
              <w:rPr>
                <w:rFonts w:ascii="Times New Roman" w:hAnsi="Times New Roman" w:cs="Times New Roman" w:eastAsia="Times New Roman"/>
                <w:color w:val="auto"/>
                <w:spacing w:val="0"/>
                <w:position w:val="0"/>
                <w:sz w:val="28"/>
                <w:shd w:fill="auto" w:val="clear"/>
              </w:rPr>
              <w:t xml:space="preserve">Режим работы светофорного регулирования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3.17 </w:t>
            </w:r>
            <w:r>
              <w:rPr>
                <w:rFonts w:ascii="Times New Roman" w:hAnsi="Times New Roman" w:cs="Times New Roman" w:eastAsia="Times New Roman"/>
                <w:color w:val="auto"/>
                <w:spacing w:val="0"/>
                <w:position w:val="0"/>
                <w:sz w:val="28"/>
                <w:shd w:fill="auto" w:val="clear"/>
              </w:rPr>
              <w:t xml:space="preserve">Устранение помех движению и факторов опасности (конфликтных ситуаций), создаваемых существующими дорожными условиями</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3.18 </w:t>
            </w:r>
            <w:r>
              <w:rPr>
                <w:rFonts w:ascii="Times New Roman" w:hAnsi="Times New Roman" w:cs="Times New Roman" w:eastAsia="Times New Roman"/>
                <w:color w:val="auto"/>
                <w:spacing w:val="0"/>
                <w:position w:val="0"/>
                <w:sz w:val="28"/>
                <w:shd w:fill="auto" w:val="clear"/>
              </w:rPr>
              <w:t xml:space="preserve">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3.19 </w:t>
            </w:r>
            <w:r>
              <w:rPr>
                <w:rFonts w:ascii="Times New Roman" w:hAnsi="Times New Roman" w:cs="Times New Roman" w:eastAsia="Times New Roman"/>
                <w:color w:val="auto"/>
                <w:spacing w:val="0"/>
                <w:position w:val="0"/>
                <w:sz w:val="28"/>
                <w:shd w:fill="auto" w:val="clear"/>
              </w:rPr>
              <w:t xml:space="preserve">Обеспечение благоприятных условий для движения инвалидов</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34</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3.20 </w:t>
            </w:r>
            <w:r>
              <w:rPr>
                <w:rFonts w:ascii="Times New Roman" w:hAnsi="Times New Roman" w:cs="Times New Roman" w:eastAsia="Times New Roman"/>
                <w:color w:val="auto"/>
                <w:spacing w:val="0"/>
                <w:position w:val="0"/>
                <w:sz w:val="28"/>
                <w:shd w:fill="auto" w:val="clear"/>
              </w:rPr>
              <w:t xml:space="preserve">Обеспечение маршрутов безопасного движения детей к образовательным организациям</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35</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3.21 </w:t>
            </w:r>
            <w:r>
              <w:rPr>
                <w:rFonts w:ascii="Times New Roman" w:hAnsi="Times New Roman" w:cs="Times New Roman" w:eastAsia="Times New Roman"/>
                <w:color w:val="auto"/>
                <w:spacing w:val="0"/>
                <w:position w:val="0"/>
                <w:sz w:val="28"/>
                <w:shd w:fill="auto" w:val="clear"/>
              </w:rPr>
              <w:t xml:space="preserve">Организация велосипедного движения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37</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3.22 </w:t>
            </w:r>
            <w:r>
              <w:rPr>
                <w:rFonts w:ascii="Times New Roman" w:hAnsi="Times New Roman" w:cs="Times New Roman" w:eastAsia="Times New Roman"/>
                <w:color w:val="auto"/>
                <w:spacing w:val="0"/>
                <w:position w:val="0"/>
                <w:sz w:val="28"/>
                <w:shd w:fill="auto" w:val="clear"/>
              </w:rPr>
              <w:t xml:space="preserve">Развитие сети дорог или участков дорог, локально- реконструкционным мероприятиям, повышающим эффективность функционирования сети дорог в целом</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40</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3.23 </w:t>
            </w:r>
            <w:r>
              <w:rPr>
                <w:rFonts w:ascii="Times New Roman" w:hAnsi="Times New Roman" w:cs="Times New Roman" w:eastAsia="Times New Roman"/>
                <w:color w:val="auto"/>
                <w:spacing w:val="0"/>
                <w:position w:val="0"/>
                <w:sz w:val="28"/>
                <w:shd w:fill="auto" w:val="clear"/>
              </w:rPr>
              <w:t xml:space="preserve">Расстановка работающих в автоматическом режиме средств фото- и видеофиксации нарушений правил дорожного движения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48</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3.24 </w:t>
            </w:r>
            <w:r>
              <w:rPr>
                <w:rFonts w:ascii="Times New Roman" w:hAnsi="Times New Roman" w:cs="Times New Roman" w:eastAsia="Times New Roman"/>
                <w:color w:val="auto"/>
                <w:spacing w:val="0"/>
                <w:position w:val="0"/>
                <w:sz w:val="28"/>
                <w:shd w:fill="auto" w:val="clear"/>
              </w:rPr>
              <w:t xml:space="preserve">Размещение специализированных стоянок для задержанных транспортных средств</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49</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Формирование программы мероприятий КСОДД с указанием очередности реализации, очередности разработки ПОДД на отдельных территориях, а также оценки требуемых объемов финансирования и ожидаемого эффекта от внедрения</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5.  </w:t>
            </w:r>
            <w:r>
              <w:rPr>
                <w:rFonts w:ascii="Times New Roman" w:hAnsi="Times New Roman" w:cs="Times New Roman" w:eastAsia="Times New Roman"/>
                <w:color w:val="000000"/>
                <w:spacing w:val="0"/>
                <w:position w:val="0"/>
                <w:sz w:val="28"/>
                <w:shd w:fill="auto" w:val="clear"/>
              </w:rPr>
              <w:t xml:space="preserve">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Новотитаровского сельского поселения Динского района</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67</w:t>
            </w:r>
          </w:p>
        </w:tc>
      </w:tr>
      <w:tr>
        <w:trPr>
          <w:trHeight w:val="1" w:hRule="atLeast"/>
          <w:jc w:val="left"/>
        </w:trPr>
        <w:tc>
          <w:tcPr>
            <w:tcW w:w="87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Заключение</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69</w:t>
            </w:r>
          </w:p>
        </w:tc>
      </w:tr>
    </w:tbl>
    <w:p>
      <w:pPr>
        <w:spacing w:before="0" w:after="15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15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15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15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76"/>
        <w:ind w:right="0" w:left="0" w:firstLine="709"/>
        <w:jc w:val="both"/>
        <w:rPr>
          <w:rFonts w:ascii="Calibri" w:hAnsi="Calibri" w:cs="Calibri" w:eastAsia="Calibri"/>
          <w:color w:val="auto"/>
          <w:spacing w:val="0"/>
          <w:position w:val="0"/>
          <w:sz w:val="23"/>
          <w:shd w:fill="auto" w:val="clear"/>
        </w:rPr>
      </w:pPr>
    </w:p>
    <w:p>
      <w:pPr>
        <w:spacing w:before="0" w:after="0" w:line="276"/>
        <w:ind w:right="0" w:left="0" w:firstLine="709"/>
        <w:jc w:val="both"/>
        <w:rPr>
          <w:rFonts w:ascii="Calibri" w:hAnsi="Calibri" w:cs="Calibri" w:eastAsia="Calibri"/>
          <w:color w:val="auto"/>
          <w:spacing w:val="0"/>
          <w:position w:val="0"/>
          <w:sz w:val="23"/>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tabs>
          <w:tab w:val="left" w:pos="720" w:leader="none"/>
        </w:tabs>
        <w:suppressAutoHyphens w:val="true"/>
        <w:spacing w:before="0" w:after="200" w:line="240"/>
        <w:ind w:right="0" w:left="0" w:firstLine="0"/>
        <w:jc w:val="center"/>
        <w:rPr>
          <w:rFonts w:ascii="Cambria" w:hAnsi="Cambria" w:cs="Cambria" w:eastAsia="Cambria"/>
          <w:b/>
          <w:color w:val="365F91"/>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ВВЕДЕНИЕ</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Повышение эффективности работы транспорта и максимальное удовлетворение потребностей населения в перевозках достигается при рациональной организации дорожного движения. Рациональное функционирование организации дорожного движения способствует сокращению времени доставки пассажиров и грузов, повышению уровня безопасности дорожного движения и снижению негативного воздействия транспортных средств на окружающую среду.</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последние годы наблюдается лавинообразный рост уровня автомобилизации населения, при этом дорожная сеть развивается гораздо более скромными темпами.</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Низкие темпы развития дорожной сети обусловлены недостаточностью финансирования, поскольку проекты в данной сфере являются чрезвычайно капиталоемкими. Поэтому оптимизация схем организации дорожного движения становится одним из основных способов решения транспортных проблем.</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Комплексная схема организации дорожного движения – программа взаимоувязанных мероприятий, направленных на снижение аварийности и негативного воздействия на окружающую среду и здоровье населения.</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Для достижения поставленной цели необходимо решить следующие задачи:</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разработка мероприятий по развитию дорожной сети муниципального образования и организации движения легкового и грузового транспорта;</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разработка мероприятий по совершенствованию условий велосипедного и пешеходного движения на территории муниципального образования;</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разработка мероприятий по повышению общего уровня безопасности дорожного движения на территории муниципального образования;</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разработка мероприятий по оптимизации парковочного пространства на территории муниципального образования;</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разработка взаимоувязанных мероприятий по развитию транспортной системы и оптимизации схемы организации дорожного движения на территории муниципального образования с укрупненным расчетом стоимости.</w:t>
      </w:r>
    </w:p>
    <w:p>
      <w:pPr>
        <w:spacing w:before="0" w:after="20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Успешная реализация проекта позволит решить транспортные проблемы муниципального образования Новотитаровского сельского поселения  путем оптимизации схемы организации дорожного движения.</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pacing w:before="0" w:after="15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 </w:t>
      </w:r>
      <w:r>
        <w:rPr>
          <w:rFonts w:ascii="Times New Roman" w:hAnsi="Times New Roman" w:cs="Times New Roman" w:eastAsia="Times New Roman"/>
          <w:b/>
          <w:color w:val="000000"/>
          <w:spacing w:val="0"/>
          <w:position w:val="0"/>
          <w:sz w:val="28"/>
          <w:shd w:fill="auto" w:val="clear"/>
        </w:rPr>
        <w:t xml:space="preserve">ПОДГОТОВКА ПРИНЦИПИАЛЬНЫХ ПРЕДЛОЖЕНИЙ И РЕШЕНИЙ ПО ОСНОВНЫМ МЕРОПРИЯТИЯМ ОДД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существующую сеть автомобильных дорог и искусственных сооружений на них в состоянии соответствующем нормативным требованиям.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Учитывая возможные изменения в структуре транспортных потоков сельского поселения комплексной схемой организации дорожного движения предлагается ряд мероприятий, общий принцип которых направлен на решение современных проблем развития муниципальных образований. В этом плане важными моментами являются: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разделение общей транспортной потребности по видам транспорта;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оптимизация транспортной и пешеходной связанности территорий сельского поселения.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Большое внимание в Новотитаровском сельском поселении стоит уделить велосипедному транспорту. Внедрение велосипедного транспорта в Новотитаровском сельском поселении на долгосрочную перспективу послужит положительным фактором для: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компенсации уровня автомобилизации, и повышения нагрузки на улично- дорожную сеть;</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снижения экологической нагрузки;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повышение уровня и качества жизни людей.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Варианты проектирования при разработке КСОДД обуславливаются, как правило, следующими исходными данными – показателями социально- экономического прогноза: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численность населения;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количество рабочих мест;</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уровень автомобилизации населения.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По состоянию на 01.01.2018 г. численность населения Новотитаровского сельского поселения составила 26 977 жителей.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При определении проектной численности населения сельского поселения следует принять во внимание:</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анализ динамики численности населения Новотитаровского сельского поселения за последние годы;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материалы Схемы территориального планирования.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Демографический прогноз, рассчитанный с учётом динамики изменения численности населения муниципального образования за предшествующий период, показывает относительную стабилизацию численности населения (с возможностью увеличения).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Изменение численности населения будет зависеть от успешной политики занятости населения, в частности, создания новых рабочих мест, обусловленного развитием различных направлений хозяйственной</w:t>
      </w:r>
      <w:r>
        <w:rPr>
          <w:rFonts w:ascii="Times New Roman" w:hAnsi="Times New Roman" w:cs="Times New Roman" w:eastAsia="Times New Roman"/>
          <w:color w:val="000000"/>
          <w:spacing w:val="0"/>
          <w:position w:val="0"/>
          <w:sz w:val="28"/>
          <w:shd w:fill="FFFFFF" w:val="clear"/>
        </w:rPr>
        <w:t xml:space="preserve"> деятельности, потенциал для которых имеется.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Следует учитывать складывающиеся агломерационные процессы вблизи Новотитаровского сельского поселения, в том числе регулярные связи по трудовым и культурно бытовым целям и учитывать при разработке концепции развития планировочной структуры поселения, его роль как центра системы расселения.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Проведенный анализ документов территориального и стратегического планирования Новотитаровского сельского поселения, как местного, так и регионального уровня, показал наличие практически одного сценария социально-экономического развития поселения, который можно охарактеризовать как оптимистично- реалистичный. Таким образом, используя рекомендуемый Приказом № 43 Минтранса РФ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муниципального образования.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При таком подходе сохраняется единый функционал УДС, ориентированный на наиболее полное удовлетворение потребности в перемещениях для всех участников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Объекты транспортной инфраструктуры приводятся и поддерживаются в нормативном состоянии (тротуары, освещение и технические средства организации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Развитие альтернативных видов транспорта предполагается за счет создания велотранспортной инфраструктуры по центральной улице поселения.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Данный вариант по экономическим соображениям является менее эффективным относительно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инновационного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однако, будучи консервативно- спокойным, не потребует подготовки общественного мнения к преобразованиям институционального характера.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br/>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2. </w:t>
      </w:r>
      <w:r>
        <w:rPr>
          <w:rFonts w:ascii="Times New Roman" w:hAnsi="Times New Roman" w:cs="Times New Roman" w:eastAsia="Times New Roman"/>
          <w:b/>
          <w:color w:val="000000"/>
          <w:spacing w:val="0"/>
          <w:position w:val="0"/>
          <w:sz w:val="28"/>
          <w:shd w:fill="auto" w:val="clear"/>
        </w:rPr>
        <w:t xml:space="preserve">ПРОВЕДЕНИЕ УКРУПНЕННОЙ ОЦЕНКИ  ПРЕДЛАГАЕМЫХ  ВАРИАНТОВ ПРОЕКТИРОВАНИЯ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Оценка вариантов проектирования осуществляется на основе существующего и прогнозируемого уровней безопасности дорожного движения, затрат времени на передвижение транспортных средств и пешеходов, уровня загрузки дорог движением, перепробега транспортных средств, удобства пешеходного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По результатам укрупнённой оценки рассматривается вариант изменения транспортной инфраструктуры - базовый (реалистичный) и оптимистичный.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Согласно генерального плана к 2032 году население муниципального образования  составит 31 274 человека.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связи с тем, что уровень автомобилизации высок, можно прогнозировать сохранение баланса использования индивидуального и </w:t>
      </w:r>
      <w:r>
        <w:rPr>
          <w:rFonts w:ascii="Times New Roman" w:hAnsi="Times New Roman" w:cs="Times New Roman" w:eastAsia="Times New Roman"/>
          <w:color w:val="000000"/>
          <w:spacing w:val="0"/>
          <w:position w:val="0"/>
          <w:sz w:val="28"/>
          <w:shd w:fill="FFFFFF" w:val="clear"/>
        </w:rPr>
        <w:t xml:space="preserve">общественног</w:t>
      </w:r>
      <w:r>
        <w:rPr>
          <w:rFonts w:ascii="Times New Roman" w:hAnsi="Times New Roman" w:cs="Times New Roman" w:eastAsia="Times New Roman"/>
          <w:color w:val="000000"/>
          <w:spacing w:val="0"/>
          <w:position w:val="0"/>
          <w:sz w:val="28"/>
          <w:shd w:fill="auto" w:val="clear"/>
        </w:rPr>
        <w:t xml:space="preserve">о транспорта в перспективе до 2032 года.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Рост интенсивности движения на УДС Новотитаровского сельского поселения будет обусловлен ростом численности населения. При данных условиях к 2032 году рост интенсивности движения транспортных потоков на УДС муниципального образования </w:t>
      </w:r>
      <w:r>
        <w:rPr>
          <w:rFonts w:ascii="Times New Roman" w:hAnsi="Times New Roman" w:cs="Times New Roman" w:eastAsia="Times New Roman"/>
          <w:color w:val="000000"/>
          <w:spacing w:val="0"/>
          <w:position w:val="0"/>
          <w:sz w:val="28"/>
          <w:shd w:fill="FFFFFF" w:val="clear"/>
        </w:rPr>
        <w:t xml:space="preserve">составит 5-10% при базовом (реалистичном) варианте развития и 16% при оптимистичном.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Анализ документарного и натурного исследования территории, проведенных в рамках выполнения предыдущих этапов проекта, позволяет сделать следующие </w:t>
      </w:r>
      <w:r>
        <w:rPr>
          <w:rFonts w:ascii="Times New Roman" w:hAnsi="Times New Roman" w:cs="Times New Roman" w:eastAsia="Times New Roman"/>
          <w:color w:val="000000"/>
          <w:spacing w:val="0"/>
          <w:position w:val="0"/>
          <w:sz w:val="28"/>
          <w:shd w:fill="FFFFFF" w:val="clear"/>
        </w:rPr>
        <w:t xml:space="preserve">выводы: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Базовый (реалистичный)</w:t>
      </w:r>
      <w:r>
        <w:rPr>
          <w:rFonts w:ascii="Times New Roman" w:hAnsi="Times New Roman" w:cs="Times New Roman" w:eastAsia="Times New Roman"/>
          <w:color w:val="000000"/>
          <w:spacing w:val="0"/>
          <w:position w:val="0"/>
          <w:sz w:val="28"/>
          <w:shd w:fill="auto" w:val="clear"/>
        </w:rPr>
        <w:t xml:space="preserve"> вариант стратегии развития не рассчитан на значительное и форсированное изменение социально-экономической базы муниципального образования, которое должно сопровождаться синхронным развитием транспортной инфраструктуры. Базовый сценарий включает мероприятия, направленные на обеспечение сохранности автомобильных дорог, долговечности и надежности конструкций и сооружений, повышение безопасности дорожного движения для водителей и пассажиров транспортных средств, а также велосипедистов и пешеходов, экологической безопасности объектов, на эффективность обслуживания участников движения, оптимизацию расходования средств, выделяемых на нужды дорожного хозяйства.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Мероприятия по безопасности дорожного движения предусматривают выполнение горизонтальной разметки, установку барьерных ограждений, установку новых знаков и замену устаревших дорожных знаков, организацию безопасного передвижения пешеходов, а также выполнение подрядных работ по ликвидации очагов дорожно-транспортных происшествий.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При оценке вариантов дальнейшего проектирования КСОДД немаловажную роль играет финансовый аспект реализации мероприятий по организации и безопасности дорожного движения на территории поселения. Базовый вариант исходит из позиций оценки сложившейся в последние годы динамики социально-экономического и пространственного развития и ограниченности ресурсов.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Как отмечалось, анализ характеристики социально-экономической ситуации на момент разработки настоящей КСОДД, показывает, что социально-экономическое развитие муниципального образования в наибольшей степени соответствует критериям базового варианта. Кроме того, сложившаяся обстановка в стране и в мире, обусловленная экономическими ограничениями в отношении Российской Федерации, не позволяет делать оптимистичных прогнозов по улучшению инвестиционного климата. Таким образом, базовый (реалистичный) вариант развития Новотитаровского сельского поселения является предпочтительным в качестве исходного условия для дальнейшей разработки проекта КСОДД.</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Но, в случае значительных изменений в социально-экономическом и инфраструктурном развитии территории, т.е. в случае изменения дорожно-транспортной ситуации Приказом № 43 Минтранса РФ предусматривается корректировка КСОДД, но не реже чем один раз в пять лет.</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Основной целью разработки реконструктивно-планировочных и организационных мероприятий является обоснование предложений по организации дорожного движения в увязке с развитием улично-дорожной сети, обеспечивающих необходимую безопасность движения и пропускную способность на период до 2032 года.</w:t>
      </w: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8"/>
          <w:shd w:fill="auto" w:val="clear"/>
        </w:rPr>
        <w:t xml:space="preserve">3. </w:t>
      </w:r>
      <w:r>
        <w:rPr>
          <w:rFonts w:ascii="Times New Roman" w:hAnsi="Times New Roman" w:cs="Times New Roman" w:eastAsia="Times New Roman"/>
          <w:b/>
          <w:color w:val="000000"/>
          <w:spacing w:val="0"/>
          <w:position w:val="0"/>
          <w:sz w:val="28"/>
          <w:shd w:fill="auto" w:val="clear"/>
        </w:rPr>
        <w:t xml:space="preserve">МЕРОПРИЯТИЯ ПО ОДД</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8"/>
          <w:shd w:fill="auto" w:val="clear"/>
        </w:rPr>
        <w:t xml:space="preserve">3.1 </w:t>
      </w:r>
      <w:r>
        <w:rPr>
          <w:rFonts w:ascii="Times New Roman" w:hAnsi="Times New Roman" w:cs="Times New Roman" w:eastAsia="Times New Roman"/>
          <w:b/>
          <w:color w:val="000000"/>
          <w:spacing w:val="0"/>
          <w:position w:val="0"/>
          <w:sz w:val="28"/>
          <w:shd w:fill="auto" w:val="clear"/>
        </w:rPr>
        <w:t xml:space="preserve">Обеспечение транспортной и пешеходной связанности территории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По данным натурных исследований не в</w:t>
      </w:r>
      <w:r>
        <w:rPr>
          <w:rFonts w:ascii="Times New Roman" w:hAnsi="Times New Roman" w:cs="Times New Roman" w:eastAsia="Times New Roman"/>
          <w:color w:val="000000"/>
          <w:spacing w:val="0"/>
          <w:position w:val="0"/>
          <w:sz w:val="28"/>
          <w:shd w:fill="FFFFFF" w:val="clear"/>
        </w:rPr>
        <w:t xml:space="preserve">ыявлена низкая связность между улицами Новотитаровского сельского поселения. Для повышения транспортной связности нет необходимости в строительстве новых дорог.</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Реализация увеличения пешеходной доступности связанна с расширением сети пешеходных дорожек и реконструкции вышедших за нормативные значения.</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8"/>
          <w:shd w:fill="auto" w:val="clear"/>
        </w:rPr>
        <w:t xml:space="preserve">3.2. </w:t>
      </w:r>
      <w:r>
        <w:rPr>
          <w:rFonts w:ascii="Times New Roman" w:hAnsi="Times New Roman" w:cs="Times New Roman" w:eastAsia="Times New Roman"/>
          <w:b/>
          <w:color w:val="000000"/>
          <w:spacing w:val="0"/>
          <w:position w:val="0"/>
          <w:sz w:val="28"/>
          <w:shd w:fill="auto" w:val="clear"/>
        </w:rPr>
        <w:t xml:space="preserve">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Основными улицами Новотитаровского сельского поселения, по которым наблюдается наиболее интенсивное движение транспортных потоков, являются в станице Новотитаровской  ул. Ленина,  ул. Широкая, ул. Луначарского, ул. Советская, ул. Краснодарская. В хуторе Карла Маркса ул. Белевцы.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Все улицы обеспечивают подъезды к жилым застройкам и транспортные связи на территории жилых районов.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Классификация дорог общего пользования местного значения Новотитаровского сельского поселения приведена в таблице 1 в соответствии с СП 42.13330.2011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Градостроительство. Планировка и застройка городских и сельских поселений</w:t>
      </w: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Таблица 1 – Категории автомобильных дорог общего пользования местного значения в Новотитаровском сельском поселении</w:t>
      </w:r>
    </w:p>
    <w:tbl>
      <w:tblPr>
        <w:tblInd w:w="113" w:type="dxa"/>
      </w:tblPr>
      <w:tblGrid>
        <w:gridCol w:w="533"/>
        <w:gridCol w:w="3151"/>
        <w:gridCol w:w="285"/>
        <w:gridCol w:w="1805"/>
        <w:gridCol w:w="1993"/>
        <w:gridCol w:w="1472"/>
        <w:gridCol w:w="1701"/>
        <w:gridCol w:w="1805"/>
        <w:gridCol w:w="1805"/>
      </w:tblGrid>
      <w:tr>
        <w:trPr>
          <w:trHeight w:val="113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31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Наименование автомобильной дороги</w:t>
            </w:r>
          </w:p>
        </w:tc>
        <w:tc>
          <w:tcPr>
            <w:tcW w:w="2090"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Категория автомобильной дороги</w:t>
            </w:r>
          </w:p>
        </w:tc>
        <w:tc>
          <w:tcPr>
            <w:tcW w:w="199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Протяженность, м</w:t>
            </w:r>
          </w:p>
        </w:tc>
        <w:tc>
          <w:tcPr>
            <w:tcW w:w="3173"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Покрытие</w:t>
            </w:r>
          </w:p>
        </w:tc>
      </w:tr>
      <w:tr>
        <w:trPr>
          <w:trHeight w:val="1" w:hRule="atLeast"/>
          <w:jc w:val="left"/>
        </w:trPr>
        <w:tc>
          <w:tcPr>
            <w:tcW w:w="10940" w:type="dxa"/>
            <w:gridSpan w:val="7"/>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ст. Новотитаровская</w:t>
            </w:r>
          </w:p>
        </w:tc>
      </w:tr>
      <w:tr>
        <w:trPr>
          <w:trHeight w:val="1" w:hRule="atLeast"/>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8 Марта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1" w:hRule="atLeast"/>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50 лет Победы</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1" w:hRule="atLeast"/>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Айвазовского</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1" w:hRule="atLeast"/>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Аэродромная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Броварца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1" w:hRule="atLeast"/>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Военных Авиаторов</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1" w:hRule="atLeast"/>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Выгонная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6,29</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 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Гоголя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Горького</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Гражданкина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Грибоедова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Дзержинского</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Дорошенкова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Ейское Шоссе</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Есенина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Жукова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Западная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Заречная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Интернациональная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Казачья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Калинина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Кирова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Кислицина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Коммунаров</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Королева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Крайняя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Красноармейская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Краснодарская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Крупской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Кубанская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Кузнечная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Кутузова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Левоневского</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IV </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Лермонтова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 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Ломоносова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Луговая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Луначарского</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7,15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 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Мира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Набережная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Нахимова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Невского</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Октябрьская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Геологов</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Заречный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Кислицина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Коккинаки</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Кочубея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Кутузова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Ленина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Малый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Мира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Молодежный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Новотитаровский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Прямой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Светлый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Таманский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Тельмана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Трудовой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Чкалова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Южный</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Первомайская 1</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Первомайская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Подгорная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Почтовая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Привокзальная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Прогонная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Продольная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Пролетарская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Пушкина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Революционная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 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Розы Люксембург</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Российская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Свободная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Асфальт</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Северная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Сельская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Советская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Солидарности</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Солнечная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Станичная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Асфальт</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Суворова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Таманская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Тельмана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86</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Тимирязева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87</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Толстого</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88</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Тургенева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Черноморская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Чехова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91</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Чкалова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Шевченко</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0,85</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w:t>
            </w:r>
          </w:p>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93</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Школьная</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94</w:t>
            </w:r>
          </w:p>
        </w:tc>
        <w:tc>
          <w:tcPr>
            <w:tcW w:w="3436"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Ф. Энгельса</w:t>
            </w:r>
          </w:p>
        </w:tc>
        <w:tc>
          <w:tcPr>
            <w:tcW w:w="180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3465"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1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10940" w:type="dxa"/>
            <w:gridSpan w:val="7"/>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х. Карла Маркса</w:t>
            </w:r>
          </w:p>
        </w:tc>
        <w:tc>
          <w:tcPr>
            <w:tcW w:w="1805" w:type="dxa"/>
            <w:tcBorders>
              <w:top w:val="single" w:color="000000" w:sz="0"/>
              <w:left w:val="single" w:color="000000" w:sz="0"/>
              <w:bottom w:val="single" w:color="000000" w:sz="0"/>
              <w:right w:val="single" w:color="000000" w:sz="0"/>
            </w:tcBorders>
            <w:shd w:color="000000" w:fill="ffffff" w:val="clear"/>
            <w:tcMar>
              <w:left w:w="56" w:type="dxa"/>
              <w:right w:w="56"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05" w:type="dxa"/>
            <w:tcBorders>
              <w:top w:val="single" w:color="000000" w:sz="0"/>
              <w:left w:val="single" w:color="000000" w:sz="0"/>
              <w:bottom w:val="single" w:color="000000" w:sz="0"/>
              <w:right w:val="single" w:color="000000" w:sz="0"/>
            </w:tcBorders>
            <w:shd w:color="000000" w:fill="ffffff"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95</w:t>
            </w:r>
          </w:p>
        </w:tc>
        <w:tc>
          <w:tcPr>
            <w:tcW w:w="31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Белевцы</w:t>
            </w:r>
          </w:p>
        </w:tc>
        <w:tc>
          <w:tcPr>
            <w:tcW w:w="2090"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199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0,75</w:t>
            </w:r>
          </w:p>
        </w:tc>
        <w:tc>
          <w:tcPr>
            <w:tcW w:w="3173"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 гравий</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96</w:t>
            </w:r>
          </w:p>
        </w:tc>
        <w:tc>
          <w:tcPr>
            <w:tcW w:w="31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Северная</w:t>
            </w:r>
          </w:p>
        </w:tc>
        <w:tc>
          <w:tcPr>
            <w:tcW w:w="2090"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199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3173"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97</w:t>
            </w:r>
          </w:p>
        </w:tc>
        <w:tc>
          <w:tcPr>
            <w:tcW w:w="31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Южная</w:t>
            </w:r>
          </w:p>
        </w:tc>
        <w:tc>
          <w:tcPr>
            <w:tcW w:w="2090"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199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c>
          <w:tcPr>
            <w:tcW w:w="3173"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r>
      <w:tr>
        <w:trPr>
          <w:trHeight w:val="255" w:hRule="auto"/>
          <w:jc w:val="left"/>
        </w:trPr>
        <w:tc>
          <w:tcPr>
            <w:tcW w:w="10940" w:type="dxa"/>
            <w:gridSpan w:val="7"/>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 Примаки</w:t>
            </w:r>
          </w:p>
        </w:tc>
        <w:tc>
          <w:tcPr>
            <w:tcW w:w="1805" w:type="dxa"/>
            <w:tcBorders>
              <w:top w:val="single" w:color="000000" w:sz="0"/>
              <w:left w:val="single" w:color="000000" w:sz="0"/>
              <w:bottom w:val="single" w:color="000000" w:sz="0"/>
              <w:right w:val="single" w:color="000000" w:sz="0"/>
            </w:tcBorders>
            <w:shd w:color="000000" w:fill="ffffff" w:val="clear"/>
            <w:tcMar>
              <w:left w:w="56" w:type="dxa"/>
              <w:right w:w="56"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05" w:type="dxa"/>
            <w:tcBorders>
              <w:top w:val="single" w:color="000000" w:sz="0"/>
              <w:left w:val="single" w:color="000000" w:sz="0"/>
              <w:bottom w:val="single" w:color="000000" w:sz="0"/>
              <w:right w:val="single" w:color="000000" w:sz="0"/>
            </w:tcBorders>
            <w:shd w:color="000000" w:fill="ffffff"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98</w:t>
            </w:r>
          </w:p>
        </w:tc>
        <w:tc>
          <w:tcPr>
            <w:tcW w:w="31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Примаки</w:t>
            </w:r>
          </w:p>
        </w:tc>
        <w:tc>
          <w:tcPr>
            <w:tcW w:w="2090"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199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3173"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r>
        <w:trPr>
          <w:trHeight w:val="255" w:hRule="auto"/>
          <w:jc w:val="left"/>
        </w:trPr>
        <w:tc>
          <w:tcPr>
            <w:tcW w:w="10940" w:type="dxa"/>
            <w:gridSpan w:val="7"/>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х. Осечки</w:t>
            </w:r>
          </w:p>
        </w:tc>
      </w:tr>
      <w:tr>
        <w:trPr>
          <w:trHeight w:val="255" w:hRule="auto"/>
          <w:jc w:val="left"/>
        </w:trPr>
        <w:tc>
          <w:tcPr>
            <w:tcW w:w="53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99</w:t>
            </w:r>
          </w:p>
        </w:tc>
        <w:tc>
          <w:tcPr>
            <w:tcW w:w="31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 Осечки</w:t>
            </w:r>
          </w:p>
        </w:tc>
        <w:tc>
          <w:tcPr>
            <w:tcW w:w="2090"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V</w:t>
            </w:r>
          </w:p>
        </w:tc>
        <w:tc>
          <w:tcPr>
            <w:tcW w:w="1993"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3173" w:type="dxa"/>
            <w:gridSpan w:val="2"/>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r>
    </w:tbl>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соответствии с разработанной классификацией количество улиц регулируемого движения составило 99 единиц.</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3.3 </w:t>
      </w:r>
      <w:r>
        <w:rPr>
          <w:rFonts w:ascii="Times New Roman" w:hAnsi="Times New Roman" w:cs="Times New Roman" w:eastAsia="Times New Roman"/>
          <w:b/>
          <w:color w:val="auto"/>
          <w:spacing w:val="0"/>
          <w:position w:val="0"/>
          <w:sz w:val="28"/>
          <w:shd w:fill="auto" w:val="clear"/>
        </w:rPr>
        <w:t xml:space="preserve">Распределение транспортных потоков по сети дорог</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Цель данных мероприятий заключается в реализации подходов к решению транспортных проблем и разработке мероприятий по снижению перегрузки УДС муниципального образования путём изменения параметров действующей транспортной сети, что в свою очередь вызывает перераспределение транспортных потоков по УДС и изменяет параметры дорожного движения.</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результате распределения транспортных потоков по сети происходит изменение основных характеристик функционирования транспортной сети: интенсивности, скорости и показателей эффективности функционирования транспортной сети. На рисунках 1-2 представлены картограммы расчётной интенсивности движения с классификацией по уровню загрузки в утренний час пик на текущую дату, а также на прогнозный период.</w: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Анализ данных, позволяет сделать вывод о том, что имеющаяся пропускная способность улиц и дорог Новотитаровского сельского поселения далека от исчерпания, а планируемые в расчётные сроки мероприятия по ремонту  дорожных объектов позволит избежать проблем с перегрузкой улично-дорожной сети в будущем.</w: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color w:val="auto"/>
          <w:spacing w:val="0"/>
          <w:position w:val="0"/>
          <w:sz w:val="28"/>
          <w:shd w:fill="auto" w:val="clear"/>
        </w:rPr>
      </w:pPr>
      <w:r>
        <w:object w:dxaOrig="13534" w:dyaOrig="9582">
          <v:rect xmlns:o="urn:schemas-microsoft-com:office:office" xmlns:v="urn:schemas-microsoft-com:vml" id="rectole0000000000" style="width:676.700000pt;height:479.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center"/>
        <w:rPr>
          <w:rFonts w:ascii="Times New Roman" w:hAnsi="Times New Roman" w:cs="Times New Roman" w:eastAsia="Times New Roman"/>
          <w:color w:val="auto"/>
          <w:spacing w:val="0"/>
          <w:position w:val="0"/>
          <w:sz w:val="28"/>
          <w:shd w:fill="auto" w:val="clear"/>
        </w:rPr>
      </w:pPr>
      <w:r>
        <w:object w:dxaOrig="13469" w:dyaOrig="9536">
          <v:rect xmlns:o="urn:schemas-microsoft-com:office:office" xmlns:v="urn:schemas-microsoft-com:vml" id="rectole0000000001" style="width:673.450000pt;height:476.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3.4 </w:t>
      </w:r>
      <w:r>
        <w:rPr>
          <w:rFonts w:ascii="Times New Roman" w:hAnsi="Times New Roman" w:cs="Times New Roman" w:eastAsia="Times New Roman"/>
          <w:b/>
          <w:color w:val="auto"/>
          <w:spacing w:val="0"/>
          <w:position w:val="0"/>
          <w:sz w:val="28"/>
          <w:shd w:fill="auto" w:val="clear"/>
        </w:rPr>
        <w:t xml:space="preserve">Разработка, внедрение и использование автоматизированной системы управления дорожным движением (далее – АСУДД), ее функции и этапы внедрения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Автоматизированные системы управления дорожным движением - это сочетание программно-технических средств и мероприятий, направленных на обеспечение безопасности дорожного движения, снижение задержек проезда пересечений и, как следствие, улучшение экологической ситуации. Более распространённое название данной системы управления дорожным движением – это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работа светофора в режиме зелёной волны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АСУДД используются для обеспечения эффективного регулирования транспортных потоков в городе с использованием светофорных объектов, что позволяется снижать задержки на отдельных светофорных объектах, так и на всей светофорной сети в целом.</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Новотитаровском сельском поселении  светофорные объекты располагаются на двух главных улицах, движение по которым осуществляется в свободном умеренном режиме – это ул. Широкая и ул. Ленина. Улично-дорожная сеть в сельском поселении не загружена, систематического возникновения заторовых ситуаций не выявлено. Из всего вышеперечисленного можно сделать вывод о том, что необходимости в проведении данного типа мероприятий в Новотитаровском сельском поселении нет.</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3.5 </w:t>
      </w:r>
      <w:r>
        <w:rPr>
          <w:rFonts w:ascii="Times New Roman" w:hAnsi="Times New Roman" w:cs="Times New Roman" w:eastAsia="Times New Roman"/>
          <w:b/>
          <w:color w:val="auto"/>
          <w:spacing w:val="0"/>
          <w:position w:val="0"/>
          <w:sz w:val="28"/>
          <w:shd w:fill="auto" w:val="clear"/>
        </w:rPr>
        <w:t xml:space="preserve">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уровне загрузки, интервалах движения, дислокации и состоянии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Мониторинг дорожного движения осуществляется на автомобильных дорогах и объектах улично-дорожной сети всех форм собственности с целью получения исходных данных для разработки документации по организации дорожного движения, для оценки соответствия параметров движения транспортных потоков транспортно-эксплуатационным характеристикам автомобильных дорог и УДС, выработки управляющих воздействий по управлению и регулированию дорожного движения, прогнозирования объемов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Актуальность формирования системы мониторинга организации дорожного движения неразрывно связана с общими тенденциями развития страны на современном этапе. В общем виде, мониторинг можно рассматривать как один из видов управленческой деятельности, представляющей собой сбор информации об управляемых объектах с целью проведения оценки их состояния и прогнозирования дальнейшего развития. Однако, до настоящего времени на федеральном уровне не сформирована единая методология и методические  рекомендации в области организации мониторинга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Для регулирования отношений в указанной сфере, Правительством РФ издан подзаконный нормативный правовой акт -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Правила диагностики и оценки состояния автомобильных дорог. Основные положения. ОДН 218.0.006-2002</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Утвержден распоряжением Минтранса РФ от 03.10.2002 № ИС-840-Р), содержащий руководящие указания при выполнении диагностики, оценке транспортно-эксплуатационного состояния автомобильных дорог общего пользования и планировании дорожно-ремонтных работ. Правила определяют порядок выполнения работ по диагностике и оценке состояния дорог, раскрывают методологию оценки каждого показателя состояния дороги и формирования банка данных, рассматривают принципы планирования и оценки эффективности дорожно-ремонтных работ по результатам диагностики.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Мониторинг дорожного движения осуществляется на автомобильных дорогах федерального значения, автомобильных дорогах регионального и межмуниципального значения, автомобильных дорогах местного значения, объектах улично-дорожной сети,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высшим исполнительным органом государственной власти субъекта Российской Федерации, органом местного самоуправления, собственниками частных автомобильных дорог.</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Основу любого мониторинга составляет сбор исходной информации. В настоящее время существуют и применяются различные способы и методы сбора информации об интенсивности транспортных потоков. Сбор такой информации проводят с различными целями. Так, информация об интенсивности движения транспортных средств на перегоне является основой для расчета характеристик дорожной одежды при реконструкции УДС, а информация об интенсивности движения транспортных потоков на перекрестке с различных направлений движения является основой создания проектов ОДД, в том числе с использованием различных технических средств регулирования.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Информацию об интенсивности транспортных потоков получают с помощью транспортных детекторов. Транспортный детектор или датчик представляет собой техническое средство, которое регистрирует количество автомобилей, проходящих через сечение дороги. Кроме этого детектор транспорта определяет различные параметры транспортных потоков.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рамках разработки настоящей КСОДД были проведены натурные обследования по определению интенсивности транспортных потоков. Для выполнения натурного обследования транспортных потоков в результате аналитической работы были определены транспортные ключевые узлы (точки замеров), согласованные с Заказчиком (Администрацией муниципального образования). Результаты натурных обследований подтвердили актуальность выбранных точек замеров. По результатам проведенных исследований, было выявлено, что интенсивность движения на данный момент не достаточно велика, чтобы экономически обосновать рациональность применения систем мониторинга.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будущем при увеличении транспортных потоков, при возникновении необходимости их применения, можно воспользоваться точками замеров интенсивности выбранных ранее вариантов для установки детекторов. Полученную с транспортных детекторов систематизированную информацию далее можно использовать для прогнозирования времени движения транспортных средств, оптимизации управления транспортным потоком, а также проследить динамику изменения интенсивности транспортных потоков. Таким образом, накопленные данные детектирования служат, по существу, единственным источником обоснованного планирования градостроительных мероприятий по строительству и реконструкции транспортных магистралей.</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3.6.  </w:t>
      </w:r>
      <w:r>
        <w:rPr>
          <w:rFonts w:ascii="Times New Roman" w:hAnsi="Times New Roman" w:cs="Times New Roman" w:eastAsia="Times New Roman"/>
          <w:b/>
          <w:color w:val="auto"/>
          <w:spacing w:val="0"/>
          <w:position w:val="0"/>
          <w:sz w:val="28"/>
          <w:shd w:fill="auto" w:val="clear"/>
        </w:rPr>
        <w:t xml:space="preserve">Совершенствование системы информационного обеспечения участников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Правильная организация информирования участников дорожного движения является необходимым условием обеспечения безопасного и эффективного дорожного движения. Более полно и четко представленная информация об условиях и требуемых режимах движения позволяет водителям быстрее принимать решения при выборе маршрута, также позволяет строить оптимальные маршруты движения, что помогает исключить перепробеги и нагрузку на улично- дорожную сеть. Качественная информационная система позволяет также осуществлять быстрый и оптимальный подъезд к местам притяжения.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FFFFFF" w:val="clear"/>
        </w:rPr>
        <w:t xml:space="preserve">Совершенствование существующей системы информационного обеспечения позволит легче ориентироваться в муниципальном образовании. Система информационного обеспечения в общем должна удовлетворять потребностям жителей и гостей сельского поселения. Организационные мероприятия по информационному обеспечению произведены в полном объеме.</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Для улучшения информационного обеспечения возможна установка навигационных щитов до объектов социального притяжения (школы, детские сады).</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3.7 </w:t>
      </w:r>
      <w:r>
        <w:rPr>
          <w:rFonts w:ascii="Times New Roman" w:hAnsi="Times New Roman" w:cs="Times New Roman" w:eastAsia="Times New Roman"/>
          <w:b/>
          <w:color w:val="auto"/>
          <w:spacing w:val="0"/>
          <w:position w:val="0"/>
          <w:sz w:val="28"/>
          <w:shd w:fill="auto" w:val="clear"/>
        </w:rPr>
        <w:t xml:space="preserve">Применение реверсивного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Новотитаровском сельском поселении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сельском поселении  не перегружена. Отсутствует маятниковое возрастание интенсивности транспортных потоков из одной части в другую, с неравномерной нагрузкой на стороны центральных улицы в разные периоды суток. Из всего вышеперечисленного можно сделать вывод о том, что необходимости в проведении данного типа мероприятий в Новотитаровском сельском поселении  нет.</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3.8 </w:t>
      </w:r>
      <w:r>
        <w:rPr>
          <w:rFonts w:ascii="Times New Roman" w:hAnsi="Times New Roman" w:cs="Times New Roman" w:eastAsia="Times New Roman"/>
          <w:b/>
          <w:color w:val="auto"/>
          <w:spacing w:val="0"/>
          <w:position w:val="0"/>
          <w:sz w:val="28"/>
          <w:shd w:fill="auto" w:val="clear"/>
        </w:rPr>
        <w:t xml:space="preserve">Организация движения маршрутных транспортных средств, включая обеспечение приоритетных условий их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На основании данных, полученных в первом этапе КСОДД была выявлена недостаточная оснащенность остановочных пунктов общественного транспорта.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Необходима организация остановочного павильона на ул. Луначарского в районе конечной остановки общественного транспорта.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Необходимо обустроить остановочный павильон общественного транспорта в соответствии с нормативами: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1.</w:t>
      </w:r>
      <w:r>
        <w:rPr>
          <w:rFonts w:ascii="Times New Roman" w:hAnsi="Times New Roman" w:cs="Times New Roman" w:eastAsia="Times New Roman"/>
          <w:color w:val="000000"/>
          <w:spacing w:val="0"/>
          <w:position w:val="0"/>
          <w:sz w:val="28"/>
          <w:shd w:fill="auto" w:val="clear"/>
        </w:rPr>
        <w:t xml:space="preserve">Остановочная площадка и посадочная площадка;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2.</w:t>
      </w:r>
      <w:r>
        <w:rPr>
          <w:rFonts w:ascii="Times New Roman" w:hAnsi="Times New Roman" w:cs="Times New Roman" w:eastAsia="Times New Roman"/>
          <w:color w:val="000000"/>
          <w:spacing w:val="0"/>
          <w:position w:val="0"/>
          <w:sz w:val="28"/>
          <w:shd w:fill="auto" w:val="clear"/>
        </w:rPr>
        <w:t xml:space="preserve">Заездной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карман</w:t>
      </w: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3.</w:t>
      </w:r>
      <w:r>
        <w:rPr>
          <w:rFonts w:ascii="Times New Roman" w:hAnsi="Times New Roman" w:cs="Times New Roman" w:eastAsia="Times New Roman"/>
          <w:color w:val="000000"/>
          <w:spacing w:val="0"/>
          <w:position w:val="0"/>
          <w:sz w:val="28"/>
          <w:shd w:fill="auto" w:val="clear"/>
        </w:rPr>
        <w:t xml:space="preserve">Боковая разделительная полоса шириной 0,75м (для дорог I-III категорий);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4.</w:t>
      </w:r>
      <w:r>
        <w:rPr>
          <w:rFonts w:ascii="Times New Roman" w:hAnsi="Times New Roman" w:cs="Times New Roman" w:eastAsia="Times New Roman"/>
          <w:color w:val="000000"/>
          <w:spacing w:val="0"/>
          <w:position w:val="0"/>
          <w:sz w:val="28"/>
          <w:shd w:fill="auto" w:val="clear"/>
        </w:rPr>
        <w:t xml:space="preserve">Тротуары и пешеходные дорожки;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5.</w:t>
      </w:r>
      <w:r>
        <w:rPr>
          <w:rFonts w:ascii="Times New Roman" w:hAnsi="Times New Roman" w:cs="Times New Roman" w:eastAsia="Times New Roman"/>
          <w:color w:val="000000"/>
          <w:spacing w:val="0"/>
          <w:position w:val="0"/>
          <w:sz w:val="28"/>
          <w:shd w:fill="auto" w:val="clear"/>
        </w:rPr>
        <w:t xml:space="preserve">Пешеходный переход;</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6.</w:t>
      </w:r>
      <w:r>
        <w:rPr>
          <w:rFonts w:ascii="Times New Roman" w:hAnsi="Times New Roman" w:cs="Times New Roman" w:eastAsia="Times New Roman"/>
          <w:color w:val="000000"/>
          <w:spacing w:val="0"/>
          <w:position w:val="0"/>
          <w:sz w:val="28"/>
          <w:shd w:fill="auto" w:val="clear"/>
        </w:rPr>
        <w:t xml:space="preserve">Автопавильон(1 шт.);</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7.</w:t>
      </w:r>
      <w:r>
        <w:rPr>
          <w:rFonts w:ascii="Times New Roman" w:hAnsi="Times New Roman" w:cs="Times New Roman" w:eastAsia="Times New Roman"/>
          <w:color w:val="000000"/>
          <w:spacing w:val="0"/>
          <w:position w:val="0"/>
          <w:sz w:val="28"/>
          <w:shd w:fill="auto" w:val="clear"/>
        </w:rPr>
        <w:t xml:space="preserve">Технические средства организации дорожного движения (дорожные знаки 5.16, разметка);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8.</w:t>
      </w:r>
      <w:r>
        <w:rPr>
          <w:rFonts w:ascii="Times New Roman" w:hAnsi="Times New Roman" w:cs="Times New Roman" w:eastAsia="Times New Roman"/>
          <w:color w:val="000000"/>
          <w:spacing w:val="0"/>
          <w:position w:val="0"/>
          <w:sz w:val="28"/>
          <w:shd w:fill="auto" w:val="clear"/>
        </w:rPr>
        <w:t xml:space="preserve">Освещение.</w:t>
      </w:r>
    </w:p>
    <w:p>
      <w:pPr>
        <w:suppressAutoHyphens w:val="true"/>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8"/>
          <w:shd w:fill="auto" w:val="clear"/>
        </w:rPr>
        <w:t xml:space="preserve">3.9 </w:t>
      </w:r>
      <w:r>
        <w:rPr>
          <w:rFonts w:ascii="Times New Roman" w:hAnsi="Times New Roman" w:cs="Times New Roman" w:eastAsia="Times New Roman"/>
          <w:b/>
          <w:color w:val="000000"/>
          <w:spacing w:val="0"/>
          <w:position w:val="0"/>
          <w:sz w:val="28"/>
          <w:shd w:fill="auto" w:val="clear"/>
        </w:rPr>
        <w:t xml:space="preserve">Организация пропуска транзитных транспортных потоков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Движение транзитного транспорта по территории Новотитаровского сельского поселения  осуществляется по дороге регионального значения Р-268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Краснодар – Ейск</w:t>
      </w:r>
      <w:r>
        <w:rPr>
          <w:rFonts w:ascii="Times New Roman" w:hAnsi="Times New Roman" w:cs="Times New Roman" w:eastAsia="Times New Roman"/>
          <w:color w:val="00000A"/>
          <w:spacing w:val="0"/>
          <w:position w:val="0"/>
          <w:sz w:val="28"/>
          <w:shd w:fill="FFFFFF"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Влияние на загрузку дорожной сети Новотитаровского сельского поселения транзитный транспорт не оказывает. В связи с этим мероприятий по организации движения транзитного транспорта не запланировано.</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3.10 </w:t>
      </w:r>
      <w:r>
        <w:rPr>
          <w:rFonts w:ascii="Times New Roman" w:hAnsi="Times New Roman" w:cs="Times New Roman" w:eastAsia="Times New Roman"/>
          <w:b/>
          <w:color w:val="auto"/>
          <w:spacing w:val="0"/>
          <w:position w:val="0"/>
          <w:sz w:val="28"/>
          <w:shd w:fill="auto" w:val="clear"/>
        </w:rPr>
        <w:t xml:space="preserve">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Предлагаемые мероприятия приведены в таблице 2.  Для оптимизации проезда большегрузного транспорта и транспорта, осуществляющего перевозку опасных и крупногабаритных грузов по территории Новотитаровского сельского поселения и минимизации шумового загрязнения, в т.ч. мест жилой застройки, разработана схема движения большегрузного транспорта. Для запрещения движения большегрузного транспорта по УДС Новотитаровского сельского поселения и одновременно разрешения въезда в черту муниципального образования обслуживающего предприятия торговли и промышленности грузового транспорта, располагающихся в черте сельского поселения, требуется установка  дорожных знаков с ограничением по тоннажу.</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FFFFFF" w:val="clear"/>
        </w:rPr>
        <w:t xml:space="preserve">На улицах и дорогах с полным запрещением движения грузового транспорта, существующие дорожные знаки 3.4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Движение грузового транспорта запрещено</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сохраняются. Для информирования водителей грузового транспорта о разрешенных маршрутах движения в черте Новотитаровского сельского поселения предлагается произвести установку на въезде в поселение и основных транспортных пересечениях информационные щиты с указанием возможных маршрутов движения транзитного большегрузного транспорта.</w:t>
      </w:r>
    </w:p>
    <w:p>
      <w:pPr>
        <w:suppressAutoHyphens w:val="true"/>
        <w:spacing w:before="0" w:after="0" w:line="276"/>
        <w:ind w:right="0" w:left="0" w:firstLine="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Таблица 2</w:t>
      </w:r>
    </w:p>
    <w:tbl>
      <w:tblPr>
        <w:tblInd w:w="55" w:type="dxa"/>
      </w:tblPr>
      <w:tblGrid>
        <w:gridCol w:w="656"/>
        <w:gridCol w:w="4284"/>
        <w:gridCol w:w="4930"/>
      </w:tblGrid>
      <w:tr>
        <w:trPr>
          <w:trHeight w:val="1" w:hRule="atLeast"/>
          <w:jc w:val="left"/>
        </w:trPr>
        <w:tc>
          <w:tcPr>
            <w:tcW w:w="656" w:type="dxa"/>
            <w:tcBorders>
              <w:top w:val="single" w:color="000001" w:sz="2"/>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4284" w:type="dxa"/>
            <w:tcBorders>
              <w:top w:val="single" w:color="000001" w:sz="2"/>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Адрес</w:t>
            </w:r>
          </w:p>
        </w:tc>
        <w:tc>
          <w:tcPr>
            <w:tcW w:w="4930" w:type="dxa"/>
            <w:tcBorders>
              <w:top w:val="single" w:color="000001" w:sz="2"/>
              <w:left w:val="single" w:color="000001" w:sz="2"/>
              <w:bottom w:val="single" w:color="000001" w:sz="2"/>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Мероприятия</w:t>
            </w:r>
          </w:p>
        </w:tc>
      </w:tr>
      <w:tr>
        <w:trPr>
          <w:trHeight w:val="1" w:hRule="atLeast"/>
          <w:jc w:val="left"/>
        </w:trPr>
        <w:tc>
          <w:tcPr>
            <w:tcW w:w="656"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4284"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Школьная на пересечении с ул. Привокзальная</w:t>
            </w:r>
          </w:p>
        </w:tc>
        <w:tc>
          <w:tcPr>
            <w:tcW w:w="4930" w:type="dxa"/>
            <w:tcBorders>
              <w:top w:val="single" w:color="000000" w:sz="0"/>
              <w:left w:val="single" w:color="000001" w:sz="2"/>
              <w:bottom w:val="single" w:color="000001" w:sz="2"/>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 </w:t>
            </w:r>
          </w:p>
        </w:tc>
      </w:tr>
      <w:tr>
        <w:trPr>
          <w:trHeight w:val="1" w:hRule="atLeast"/>
          <w:jc w:val="left"/>
        </w:trPr>
        <w:tc>
          <w:tcPr>
            <w:tcW w:w="656"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4284"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Привокзальная на пересечении с ул. Луначарского</w:t>
            </w:r>
          </w:p>
        </w:tc>
        <w:tc>
          <w:tcPr>
            <w:tcW w:w="4930" w:type="dxa"/>
            <w:tcBorders>
              <w:top w:val="single" w:color="000000" w:sz="0"/>
              <w:left w:val="single" w:color="000001" w:sz="2"/>
              <w:bottom w:val="single" w:color="000001" w:sz="2"/>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4284"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 на пересечении с ул. Школьная</w:t>
            </w:r>
          </w:p>
        </w:tc>
        <w:tc>
          <w:tcPr>
            <w:tcW w:w="4930" w:type="dxa"/>
            <w:tcBorders>
              <w:top w:val="single" w:color="000000" w:sz="0"/>
              <w:left w:val="single" w:color="000001" w:sz="2"/>
              <w:bottom w:val="single" w:color="000001" w:sz="2"/>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 </w:t>
            </w:r>
          </w:p>
        </w:tc>
      </w:tr>
      <w:tr>
        <w:trPr>
          <w:trHeight w:val="1" w:hRule="atLeast"/>
          <w:jc w:val="left"/>
        </w:trPr>
        <w:tc>
          <w:tcPr>
            <w:tcW w:w="656" w:type="dxa"/>
            <w:tcBorders>
              <w:top w:val="single" w:color="000001" w:sz="2"/>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4284" w:type="dxa"/>
            <w:tcBorders>
              <w:top w:val="single" w:color="000001" w:sz="2"/>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Привокзальная в районе дома №79</w:t>
            </w:r>
          </w:p>
        </w:tc>
        <w:tc>
          <w:tcPr>
            <w:tcW w:w="4930" w:type="dxa"/>
            <w:tcBorders>
              <w:top w:val="single" w:color="000001" w:sz="2"/>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Свободная на пересечении с ул. Октябрьская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Свободная на пересечении с ул. Степная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 на пересечении с ул. Свободная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 на пересечении с ул. Привокзальная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Южный на пересечении с ул. Привокзальная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Прямой на пересечении с ул. Свободная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Прямой на пересечении с ул. Привокзальная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 на пересечении с ул. Степная с двух сторон</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 на пересечении с ул. Октябрьская с двух сторон</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 на пересечении с ул. Ленина</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Школьная на пересечении с ул. Восточная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 в районе дома №141</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Советская на пересечении с ул. Ленина</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Калинина на пересечении с ул. Степная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 на пересечении с ул. Леваневского</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 12 </w:t>
            </w:r>
            <w:r>
              <w:rPr>
                <w:rFonts w:ascii="Times New Roman" w:hAnsi="Times New Roman" w:cs="Times New Roman" w:eastAsia="Times New Roman"/>
                <w:color w:val="auto"/>
                <w:spacing w:val="0"/>
                <w:position w:val="0"/>
                <w:sz w:val="24"/>
                <w:shd w:fill="auto" w:val="clear"/>
              </w:rPr>
              <w:t xml:space="preserve">тонн</w:t>
            </w:r>
          </w:p>
        </w:tc>
      </w:tr>
      <w:tr>
        <w:trPr>
          <w:trHeight w:val="1" w:hRule="atLeast"/>
          <w:jc w:val="left"/>
        </w:trPr>
        <w:tc>
          <w:tcPr>
            <w:tcW w:w="656"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4284"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 на пересечении с ул. Гоголя</w:t>
            </w:r>
          </w:p>
        </w:tc>
        <w:tc>
          <w:tcPr>
            <w:tcW w:w="4930"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 8 </w:t>
            </w:r>
            <w:r>
              <w:rPr>
                <w:rFonts w:ascii="Times New Roman" w:hAnsi="Times New Roman" w:cs="Times New Roman" w:eastAsia="Times New Roman"/>
                <w:color w:val="auto"/>
                <w:spacing w:val="0"/>
                <w:position w:val="0"/>
                <w:sz w:val="24"/>
                <w:shd w:fill="auto" w:val="clear"/>
              </w:rPr>
              <w:t xml:space="preserve">тонн</w:t>
            </w:r>
          </w:p>
        </w:tc>
      </w:tr>
    </w:tbl>
    <w:p>
      <w:pPr>
        <w:spacing w:before="0" w:after="0" w:line="276"/>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3.11 </w:t>
      </w:r>
      <w:r>
        <w:rPr>
          <w:rFonts w:ascii="Times New Roman" w:hAnsi="Times New Roman" w:cs="Times New Roman" w:eastAsia="Times New Roman"/>
          <w:b/>
          <w:color w:val="auto"/>
          <w:spacing w:val="0"/>
          <w:position w:val="0"/>
          <w:sz w:val="28"/>
          <w:shd w:fill="auto" w:val="clear"/>
        </w:rPr>
        <w:t xml:space="preserve">Ограничению доступа транспортных средств на определенные территории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Одной из важных мер совершенствования организации дорожного движения  является ограничение доступа транспортных средств на определенные территории.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Ограничение доступа транспортных средств используется в различных целях: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ограничения доступа транспортных средств в соответствии с положениями Федерального закона от 09.02.2007 № 16-ФЗ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 транспортной безопасности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целях обеспечения безопасности объектов транспортной инфраструктуры от актов незаконного вмешательства;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ограничения доступа транспортных средств на определенные территории, связанные с организацией и функционированием пешеходных пространств.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Проведенный в ходе разработки настоящей КСОДД анализ существующей организации движения транспортных средств и пешеходов показал, что органы местного самоуправления Новотитаровского сельского поселения используют меры по ограничению доступа транспортных средств. Данные меры носят постоянный характер. К мерам постоянного характера относится запрет на движение  грузового транспорта. Данная мера обусловлена целью создания благоприятных условий для местных жителей и туристов при посещении объектов культурного и туристического назначения. Данные меры обусловлены необходимостью обеспечения безопасности дорожного движения во время проведения мероприятий.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Проведенный в ходе разработки настоящей КСОДД анализ параметров дорожного движения на УДС Новотитаровского сельского поселения не выявил перегрузки улиц и дорог движением, задержек в движении транспортных средств, что позволяет сделать вывод об отсутствии предпосылок к увеличению количества выбросов загрязняющих веществ от выхлопных газов в атмосферу и уровня шума.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На основании изложенного, в рамках данной КСОДД не предлагается дополнительных мероприятий по ограничению доступа транспортных средств на определенные территории.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В ходе реализации КСОДД в последующие годы может возникнуть необходимость использования указанной меры оптимизации организации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В таких случаях Приказ Минтранса РФ от 17.03.2015 № 43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Об утверждении Правил подготовки проектов и схем организации дорожного движения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предусматривает разработку проектов организации дорожного движения (ПОДД) без предварительной разработки КСОДД.</w:t>
      </w:r>
    </w:p>
    <w:p>
      <w:pPr>
        <w:spacing w:before="0" w:after="0" w:line="276"/>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3.12 </w:t>
      </w:r>
      <w:r>
        <w:rPr>
          <w:rFonts w:ascii="Times New Roman" w:hAnsi="Times New Roman" w:cs="Times New Roman" w:eastAsia="Times New Roman"/>
          <w:b/>
          <w:color w:val="auto"/>
          <w:spacing w:val="0"/>
          <w:position w:val="0"/>
          <w:sz w:val="28"/>
          <w:shd w:fill="auto" w:val="clear"/>
        </w:rPr>
        <w:t xml:space="preserve">Скоростной режим движения транспортных средств на отдельных участках дорог или в различных зонах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сельском поселении.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Особую актуальность данный вопрос имеет в силу законодательно установленного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нештрафуемого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порога в 20 км/ч. И если на загородных автомобильных дорогах это как правило не приводит к повышению аварийности и тяжести последствий, то движение со скоростью порядка 80 км/ч по улицам, характеризующимися порой весьма насыщенным пешеходным движением, является смертельно опасным, ведь вероятность смертельного исхода для пешехода в данном случае составляет порядка 90 %.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настоящее время в Новотитаровском сельском поселении ограничение скоростного режима до 40 км/ч введено в местах скопления детей. В связи с этим в зоне школьных и дошкольных учреждений необходимо установка знака 1.23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Дети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средств принудительного снижения скорости. Существующая схема ограничения скоростного режима должна учитывать места скопления людей – рынок, места притяжения людей – спортивные, развлекательные и учебные объекты.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рамках разрабатываемой КСОДД предлагается на ул. Луначарского от ул. Советской до ул. Почтовой установить ограничение скоростного режима  до 20 км/ч в связи с непосредственной близостью к Школе № 29 и № 1. </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3.13 </w:t>
      </w:r>
      <w:r>
        <w:rPr>
          <w:rFonts w:ascii="Times New Roman" w:hAnsi="Times New Roman" w:cs="Times New Roman" w:eastAsia="Times New Roman"/>
          <w:b/>
          <w:color w:val="auto"/>
          <w:spacing w:val="0"/>
          <w:position w:val="0"/>
          <w:sz w:val="28"/>
          <w:shd w:fill="auto" w:val="clear"/>
        </w:rPr>
        <w:t xml:space="preserve">Формирование единого парковочного пространства (размещение гаражей, стоянок, парковок и иных подобных сооружений)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Формирование единого парковочного пространства позволяет предотвратить процессы образования заторовых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FFFFFF" w:val="clear"/>
        </w:rPr>
        <w:t xml:space="preserve">В ходе проведения работ собрана и систематизирована информация о существующем парковочном пространстве в наиболее важных районах. Информация о существующих парковочных мощностях была получена на основании натурных обследований.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На первом этапе данного проекта собрана и систематизирована информация о существующем парковочном пространстве в наиболее важных районах. Анализ полученной информации позволил оценить степень удовлетворения спроса на парковочное пространство и порождаемую им нагрузку на дорожную сеть</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ab/>
      </w:r>
      <w:r>
        <w:rPr>
          <w:rFonts w:ascii="Times New Roman" w:hAnsi="Times New Roman" w:cs="Times New Roman" w:eastAsia="Times New Roman"/>
          <w:color w:val="000000"/>
          <w:spacing w:val="0"/>
          <w:position w:val="0"/>
          <w:sz w:val="28"/>
          <w:shd w:fill="FFFFFF" w:val="clear"/>
        </w:rPr>
        <w:t xml:space="preserve">В соответствии с нормами СП 42.13330.2011 обеспеченность местами для постоянного хранения легкового индивидуального автотранспорта должна быть 350 машино-мест на 1000 жителей. Следовательно, необходимое количество мест для постоянного хранения автомобилей составит 9450 машино-мест.</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Парковочные места вдоль улично-дорожной сети, оборудованные в соответствии с действующими нормативами присутствуют, но не везде. Можно выделить лишь несколько парковочных зон, оборудованных в заездных карманах.  Данного количества почти достаточно при учете существующей нагрузке на УДС села.  У объектов притяжения наблюдается отдельные парковочные площадки, которые позволяют удовлетворить существующие потребности жителей сельского поселения.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Парковки, организованные не в соответствии с требованиями ГОСТ и СНиП порождают дополнительную нагрузку на дорожную сеть и приводят к возникновению заторов.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Поэтому оптимизация парковочного пространства позволит не только более полно удовлетворить спрос граждан, но и улучшить дорожно-транспортную ситуацию.</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По результатам натурных обследований выявлено достаточное количество машино-мест в дворовых территориях многоквартирных жилых домов Новотитаровского сельского поселения. 70 % данного парковочного пространства организованно должным образом и не носит хаотичный характер. Требуется приведение к нормативному состоянию каждого машино-места размещенного на дворовых территориях с целью создания удобного проезда или автомобильной стоянки.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С целью оптимизации транспортной доступности объектов массового притяжения населения, проектом КСОДД предлагается создание дополнительных 13 парковочных мест в районе школы искусств по ул. Советская, и 20 парковочных мест по ул. Почтовая в районе Поликлиники . Так же необходимо привести в нормативный вид 10 парковочных мест в районе Д/С №11 по ул. Советская.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В Новотитаровском сельском поселении большая часть сел занята частной жилой застройкой малоэтажного типа. На придомовой территории расположено по 1-2 машино-места.  Выявлено, что общее количество парковочных машино - мест на территории частных домовладений составляет порядка 8000.</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ab/>
      </w:r>
      <w:r>
        <w:rPr>
          <w:rFonts w:ascii="Times New Roman" w:hAnsi="Times New Roman" w:cs="Times New Roman" w:eastAsia="Times New Roman"/>
          <w:color w:val="000000"/>
          <w:spacing w:val="0"/>
          <w:position w:val="0"/>
          <w:sz w:val="28"/>
          <w:shd w:fill="FFFFFF" w:val="clear"/>
        </w:rPr>
        <w:t xml:space="preserve">Самостоятельное устройство парковок может повлечь за собой затруднение выезда с дворовой территории, нарушение правил парковки, нерегламентированное использование участков может стать причиной нарушения границ линий отвода различных видов коммуникаций (газопроводы, водопроводы, линии электропередач и т.д.), автомобили, припаркованные на самостоятельно устроенных парковках, могут мешать движению пешеходов и велосипедистов. Парковка на газонах влечет за собой распространение грязи по улично-дорожной сети, что негативно складывается на здоровье жителей. Также необустроенные парковки могут располагаться вблизи детских площадок, что негативно сказывается на безопасности детей, так и самих автомобилей.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В целом по результатам анализа парковочного пространства на территории Новотитаровского сельского поселения, можно сделать вывод о том, что в целом дефицит парковочных мест, оборудованных в соответствии с действующими нормативами, отмечается у объектов притяжения (здравоохранения, образования, культуры, спорта, магазинов и промышленных объектов) и вдоль улично-дорожной сети.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При организации парковочного пространства следует учитывать следующие факторы: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для сокращения заторов на дорогах и повышения качества пространства чрезвычайно важно сокращать уровень ежедневного автомобилепользования;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платная парковка не будет пользоваться спросом (в том числе многоуровневые паркинги).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В результате исследования парковочного пространства Новотитаровского сельского поселения и анализа исходных данных были выявлены следующие недостатки: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недостаток парковок у мест массового скопления людей;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хаотичная парковка индивидуальных автомобилей, как в центре, так и в спальных районах;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слабый контроль существующего парковочного пространства;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Предлагаемые пути решения выявленных проблем: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усиление борьбы с незаконной парковкой на газонах и тротуарах во дворах;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установка пешеходных столбиков для защиты дворовых тротуаров от парковки;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задействование различных органов власти для тотального пресечения нарушений правил парковки на тротуарах и газонах во дворах;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борьба с самозахватами парковочных мест во дворах.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Ниже перечислены предлагаемые пути решения проблем в парковочной системе Новотитаровского сельского поселения.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Инвентаризация парковочной сети и приведение её к текущим реалиям: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создание парковочной карты (обозначение мест запрета парковок на УДС);</w:t>
      </w:r>
    </w:p>
    <w:p>
      <w:pPr>
        <w:suppressAutoHyphens w:val="true"/>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установка запретов парковки перед/после перекрёстков для увеличения пропускной способности перекрёстков;</w:t>
      </w:r>
    </w:p>
    <w:p>
      <w:pPr>
        <w:suppressAutoHyphens w:val="true"/>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избавление от лишних запретов парковки, а также от самозахватов УДС;</w:t>
      </w:r>
    </w:p>
    <w:p>
      <w:pPr>
        <w:suppressAutoHyphens w:val="true"/>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t xml:space="preserve">- </w:t>
      </w:r>
      <w:r>
        <w:rPr>
          <w:rFonts w:ascii="Times New Roman" w:hAnsi="Times New Roman" w:cs="Times New Roman" w:eastAsia="Times New Roman"/>
          <w:color w:val="000000"/>
          <w:spacing w:val="0"/>
          <w:position w:val="0"/>
          <w:sz w:val="28"/>
          <w:shd w:fill="FFFFFF" w:val="clear"/>
        </w:rPr>
        <w:t xml:space="preserve">использование жёлтой разметки для обозначения наиболее важных мест запрета стоянки и остановки;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ab/>
        <w:t xml:space="preserve"> - </w:t>
      </w:r>
      <w:r>
        <w:rPr>
          <w:rFonts w:ascii="Times New Roman" w:hAnsi="Times New Roman" w:cs="Times New Roman" w:eastAsia="Times New Roman"/>
          <w:color w:val="000000"/>
          <w:spacing w:val="0"/>
          <w:position w:val="0"/>
          <w:sz w:val="28"/>
          <w:shd w:fill="FFFFFF" w:val="clear"/>
        </w:rPr>
        <w:t xml:space="preserve">искоренение любой парковки на тротуаре и перед пешеходными переходами посредством частых рейдов ГИБДД.</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8"/>
          <w:shd w:fill="FFFFFF" w:val="clear"/>
        </w:rPr>
      </w:pPr>
      <w:r>
        <w:object w:dxaOrig="13560" w:dyaOrig="9600">
          <v:rect xmlns:o="urn:schemas-microsoft-com:office:office" xmlns:v="urn:schemas-microsoft-com:vml" id="rectole0000000002" style="width:678.000000pt;height:480.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8"/>
          <w:shd w:fill="FFFFFF" w:val="clear"/>
        </w:rPr>
      </w:pPr>
      <w:r>
        <w:object w:dxaOrig="13139" w:dyaOrig="9303">
          <v:rect xmlns:o="urn:schemas-microsoft-com:office:office" xmlns:v="urn:schemas-microsoft-com:vml" id="rectole0000000003" style="width:656.950000pt;height:465.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3.14. </w:t>
      </w:r>
      <w:r>
        <w:rPr>
          <w:rFonts w:ascii="Times New Roman" w:hAnsi="Times New Roman" w:cs="Times New Roman" w:eastAsia="Times New Roman"/>
          <w:b/>
          <w:color w:val="auto"/>
          <w:spacing w:val="0"/>
          <w:position w:val="0"/>
          <w:sz w:val="28"/>
          <w:shd w:fill="auto" w:val="clear"/>
        </w:rPr>
        <w:t xml:space="preserve">Организация одностороннего движения транспортных средств на дорогах или их участках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w:t>
      </w:r>
      <w:r>
        <w:rPr>
          <w:rFonts w:ascii="Times New Roman" w:hAnsi="Times New Roman" w:cs="Times New Roman" w:eastAsia="Times New Roman"/>
          <w:color w:val="000000"/>
          <w:spacing w:val="0"/>
          <w:position w:val="0"/>
          <w:sz w:val="28"/>
          <w:shd w:fill="FFFFFF" w:val="clear"/>
        </w:rPr>
        <w:t xml:space="preserve">городах и селах</w:t>
      </w:r>
      <w:r>
        <w:rPr>
          <w:rFonts w:ascii="Times New Roman" w:hAnsi="Times New Roman" w:cs="Times New Roman" w:eastAsia="Times New Roman"/>
          <w:color w:val="000000"/>
          <w:spacing w:val="0"/>
          <w:position w:val="0"/>
          <w:sz w:val="28"/>
          <w:shd w:fill="auto" w:val="clear"/>
        </w:rPr>
        <w:t xml:space="preserve">, с развитой улично-дорожной сетью, на узких улицах, пропускная способность которых не удовлетворяет транспортному спросу населения </w:t>
      </w:r>
      <w:r>
        <w:rPr>
          <w:rFonts w:ascii="Times New Roman" w:hAnsi="Times New Roman" w:cs="Times New Roman" w:eastAsia="Times New Roman"/>
          <w:color w:val="000000"/>
          <w:spacing w:val="0"/>
          <w:position w:val="0"/>
          <w:sz w:val="28"/>
          <w:shd w:fill="FFFFFF" w:val="clear"/>
        </w:rPr>
        <w:t xml:space="preserve">сельского поселения </w:t>
      </w:r>
      <w:r>
        <w:rPr>
          <w:rFonts w:ascii="Times New Roman" w:hAnsi="Times New Roman" w:cs="Times New Roman" w:eastAsia="Times New Roman"/>
          <w:color w:val="000000"/>
          <w:spacing w:val="0"/>
          <w:position w:val="0"/>
          <w:sz w:val="28"/>
          <w:shd w:fill="auto" w:val="clear"/>
        </w:rPr>
        <w:t xml:space="preserve"> в целом.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В Новотитаровском сельском поселении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муниципальном образовании не загружена, систематического возникновения заторных ситуаций не выявлено. Безопасность дорожного движения находится на достаточном уровне.</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Новотитаровском сельском поселении отсутствует.</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3.15 </w:t>
      </w:r>
      <w:r>
        <w:rPr>
          <w:rFonts w:ascii="Times New Roman" w:hAnsi="Times New Roman" w:cs="Times New Roman" w:eastAsia="Times New Roman"/>
          <w:b/>
          <w:color w:val="auto"/>
          <w:spacing w:val="0"/>
          <w:position w:val="0"/>
          <w:sz w:val="28"/>
          <w:shd w:fill="auto" w:val="clear"/>
        </w:rPr>
        <w:t xml:space="preserve">Перечень пересечений, примыканий и участков дорог, требующих введения светофорного регулирования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Интенсивность транспортных потоков на пересечениях улиц Новотитаровского сельского поселения не требует введения светофорного регулирования. На текущий период в станице Новотитаровской действует 3 работающих светофора:</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Пересечение улиц Широкая и Луначарского;</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Пересечение улиц Широкая и Ленина;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Пересечение улиц Ленина и Советская.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8"/>
          <w:shd w:fill="auto" w:val="clear"/>
        </w:rPr>
        <w:t xml:space="preserve">3.16 </w:t>
      </w:r>
      <w:r>
        <w:rPr>
          <w:rFonts w:ascii="Times New Roman" w:hAnsi="Times New Roman" w:cs="Times New Roman" w:eastAsia="Times New Roman"/>
          <w:b/>
          <w:color w:val="000000"/>
          <w:spacing w:val="0"/>
          <w:position w:val="0"/>
          <w:sz w:val="28"/>
          <w:shd w:fill="auto" w:val="clear"/>
        </w:rPr>
        <w:t xml:space="preserve">Режим работы светофорного регулирования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Светофорное регулирование выполняет ряд основных функций в организации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повышение безопасности;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повышение пропускной способности отдельных направлений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перераспределение транспортных потоков.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На территории Новотитаровского сельского поселения режимы светофорного регулирования настроены должным образом, и не требуют изменений.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При необходимости  ввода в эксплуатацию светофорных объектов необходимо будет разработать схему и режим работы. Расчёт режима работы светофорных объектов выполняется в соответствии с ОДМ 218.2.020-2012.</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3.17 </w:t>
      </w:r>
      <w:r>
        <w:rPr>
          <w:rFonts w:ascii="Times New Roman" w:hAnsi="Times New Roman" w:cs="Times New Roman" w:eastAsia="Times New Roman"/>
          <w:b/>
          <w:color w:val="auto"/>
          <w:spacing w:val="0"/>
          <w:position w:val="0"/>
          <w:sz w:val="28"/>
          <w:shd w:fill="auto" w:val="clear"/>
        </w:rPr>
        <w:t xml:space="preserve">Устранение помех движению и факторов опасности (конфликтных ситуаций), создаваемых существующими дорожными условиями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настоящее время организация безопасности дорожного движения является приоритетной задачей. Мероприятия по устранению помех движения и факторов опасности (конфликтных ситуаций), создаваемых существующими дорожными условиями позволят повысить безопасность дорожного движения на улично- дорожной сети Новотитаровского сельского поселения. К данному типу мероприятий можно отнести обеспечение видимости на подъездах к пересечениям, замена нерегулируемых пересечений на саморегулируемые кольцевые пересечения, организация переходно-скоростных полос и так далее.</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С целью повышения безопасности дорожного движения предлагается реализации следующих мероприятий по устранению помех движению и факторов опасности: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tab/>
        <w:t xml:space="preserve">- </w:t>
      </w:r>
      <w:r>
        <w:rPr>
          <w:rFonts w:ascii="Times New Roman" w:hAnsi="Times New Roman" w:cs="Times New Roman" w:eastAsia="Times New Roman"/>
          <w:color w:val="000000"/>
          <w:spacing w:val="0"/>
          <w:position w:val="0"/>
          <w:sz w:val="28"/>
          <w:shd w:fill="auto" w:val="clear"/>
        </w:rPr>
        <w:t xml:space="preserve">установка светофоров Т7 на ул. Советская в районе детского сада №11, над нерегулируемым пешеходным переходом;</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установка светофоров Т7 на ул. Луначарского в районе Школы №1, над нерегулируемым пешеходным переходом;;</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установка светофоров Т7 на ул. Широкая в районе детского сада №61, над нерегулируемым пешеходным переходом;;</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установка искусственных неровностей по ул. Советская в районе детского сада №11.</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3.18 </w:t>
      </w:r>
      <w:r>
        <w:rPr>
          <w:rFonts w:ascii="Times New Roman" w:hAnsi="Times New Roman" w:cs="Times New Roman" w:eastAsia="Times New Roman"/>
          <w:b/>
          <w:color w:val="auto"/>
          <w:spacing w:val="0"/>
          <w:position w:val="0"/>
          <w:sz w:val="28"/>
          <w:shd w:fill="auto" w:val="clear"/>
        </w:rPr>
        <w:t xml:space="preserve">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В состав мероприятий, направленных на совершенствование условий пешеходного движения, входят:</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 </w:t>
      </w:r>
      <w:r>
        <w:rPr>
          <w:rFonts w:ascii="Times New Roman" w:hAnsi="Times New Roman" w:cs="Times New Roman" w:eastAsia="Times New Roman"/>
          <w:color w:val="000000"/>
          <w:spacing w:val="0"/>
          <w:position w:val="0"/>
          <w:sz w:val="28"/>
          <w:shd w:fill="auto" w:val="clear"/>
        </w:rPr>
        <w:t xml:space="preserve">мероприятия, направленные на снижение количества дорожно-транспортных происшествий (далее - ДТП) и тяжести их последствий с участием пешеходов;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 </w:t>
      </w:r>
      <w:r>
        <w:rPr>
          <w:rFonts w:ascii="Times New Roman" w:hAnsi="Times New Roman" w:cs="Times New Roman" w:eastAsia="Times New Roman"/>
          <w:color w:val="000000"/>
          <w:spacing w:val="0"/>
          <w:position w:val="0"/>
          <w:sz w:val="28"/>
          <w:shd w:fill="auto" w:val="clear"/>
        </w:rPr>
        <w:t xml:space="preserve">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мероприятия, направленные на обеспечение беспрепятственного перемещения пешеходных потоков.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рамках реализации данных мероприятий рекомендуется: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установка пешеходных ограждений;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обустройство имеющихся пешеходных переходов современными техническими средствами организации дорожного движения (ТСОДД) и электроосвещением;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организация регулируемых пешеходных переходов на автомобильных дорогах;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обустройство новых пешеходных переходов в соответствии с требованиями действующих нормативных документов;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ликвидация наземных пешеходных переходов, не отвечающих требованиям действующих нормативных документов;</w:t>
      </w: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для обеспечения безопасного перехода регулируемых перекрестков по диагонали, предлагается устраивать диагональные пешеходные переходы.</w: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8"/>
          <w:u w:val="single"/>
          <w:shd w:fill="auto" w:val="clear"/>
        </w:rPr>
        <w:t xml:space="preserve">Установка пешеходных ограждений</w:t>
      </w: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Для предотвращения перехода пешеходом проезжей части в неустановленных местах используются ограничивающие пешеходные ограждения. Пример применения пешеходных ограждений показан на рисунке 5:</w:t>
      </w: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8"/>
          <w:shd w:fill="auto" w:val="clear"/>
        </w:rPr>
      </w:pPr>
      <w:r>
        <w:object w:dxaOrig="8726" w:dyaOrig="3600">
          <v:rect xmlns:o="urn:schemas-microsoft-com:office:office" xmlns:v="urn:schemas-microsoft-com:vml" id="rectole0000000004" style="width:436.300000pt;height:180.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Рис. 5 - Пешеходное ограждение</w:t>
      </w:r>
    </w:p>
    <w:p>
      <w:pPr>
        <w:suppressAutoHyphens w:val="true"/>
        <w:spacing w:before="0" w:after="200" w:line="276"/>
        <w:ind w:right="0" w:left="0" w:firstLine="708"/>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По ул. Советская требуется установка пешеходного ограждения, в районе пешеходного перехода возле детского сада №11.</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Ограничивающие пешеходные ограждения перильного типа или сетки применяют:</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 разделительных полосах шириной не менее 1 м между основной проезжей частью и местным проездом;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 Их устанавливают на расстоянии не менее 0,3 м от кромки проезжей части.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Ограждения перильного типа - у наземных пешеходных переходов, расположенных на участках дорог или улиц, проходящих вдоль детских учреждений, с обеих сторон дороги или улицы на протяжении не менее 50 м в каждую сторону от нерегулируемого пешеходного перехода, а также на участках, где интенсивность пешеходного движения превышает 1000 чел./ч на одну полосу тротуара при разрешенной  остановке или стоянке ТС и 750 чел./ч - при запрещенной остановке или стоянке.</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Устанавливаются ограждения у внешнего края тротуара на расстоянии не менее 0,3 м от лицевой поверхности бортового камня. Допускается установка пешеходных ограждений у остановочных пунктов с наземными пешеходными переходами. При этом ограждения размещают от начала посадочной площадки до ближайшей границы пешеходного перехода. Высота ограждений ограничивающих перильного типа должна быть 0,8 - 1,0 м, сеток - 1,2 - 1,5 м. Ограждения перильного типа высотой 1,0 м. должны иметь две перекладины, расположенные на разной высоте.</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ab/>
      </w:r>
      <w:r>
        <w:rPr>
          <w:rFonts w:ascii="Times New Roman" w:hAnsi="Times New Roman" w:cs="Times New Roman" w:eastAsia="Times New Roman"/>
          <w:color w:val="000000"/>
          <w:spacing w:val="0"/>
          <w:position w:val="0"/>
          <w:sz w:val="28"/>
          <w:shd w:fill="FFFFFF" w:val="clear"/>
        </w:rPr>
        <w:t xml:space="preserve">Также Проектом организации дорожного движения предусматривается устройство уличного освещения.</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8"/>
          <w:u w:val="single"/>
          <w:shd w:fill="auto" w:val="clear"/>
        </w:rPr>
        <w:t xml:space="preserve">Обустройство имеющихся пешеходных переходов современными техническими средствами организации дорожного движения (ТСОДД) и электроосвещением.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Для сокращения количества ДТП, произошедших в зоне пешеходного перехода по вине водителей, требуется доведение существующих нерегулируемых и регулируемых пешеходных переходов до нормативных требований: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 </w:t>
      </w:r>
      <w:r>
        <w:rPr>
          <w:rFonts w:ascii="Times New Roman" w:hAnsi="Times New Roman" w:cs="Times New Roman" w:eastAsia="Times New Roman"/>
          <w:color w:val="000000"/>
          <w:spacing w:val="0"/>
          <w:position w:val="0"/>
          <w:sz w:val="28"/>
          <w:shd w:fill="auto" w:val="clear"/>
        </w:rPr>
        <w:t xml:space="preserve">замена существующих дорожных знаков 5.19.1 и 5.19.2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Пешеходный переход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1.23 “Дети” на знаки, выполненные на щитах со световозвращающей флуоресцентной пленкой желто-зеленого цвета:</w:t>
        <w:tab/>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Привокзальная в районе улицы Луначарского;</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 Школьная в районе улицы Привокзальная;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Ленина в районе улицы Привокзальная;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Привокзальная в районе улицы Ленина;</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Ленина в районе улицы Продольная;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Октябрьская в районе улицы Продольная;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Степная в районе улицы Восточная;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Степная в районе улицы Продольная;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Привокзальная в районе улицы Крайняя;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Продольная в районе улицы Крайняя;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Крайняя в районе улицы Продольная;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Краснодарская в районе улицы Коммунаров;</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Советская в районе улицы Степная;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Степная в районе улицы Советская;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Советская в районе улицы Крайняя;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Советская в районе улицы Октябрьская;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Тельмана в районе улицы Сельская;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Советская в районе улицы Коммунаров;</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Коммунаров в районе улицы Советская;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Коммунаров в районе улицы Кирова;</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Коммунаров в районе улицы Розы Люксембург;</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Коммунаров в районе улицы Леваневского;</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Ленина в районе улицы Луначарского;</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Ленина;</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Гоголя;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Гоголя в районе улицы Луначарского;</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Леваневского;</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Леваневского в районе улицы Луначарского с двух сторон;</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Розы Люксембург;</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Крупской;</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Кирова;</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Кирова в районе улицы Луначарского;</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Советская;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Советская в районе детского сада №11;</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Красноармейская;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обустройство знаками 5.19.1 и 5.19.2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Пешеходный переход</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нанесение разметки 1.14.1  </w:t>
      </w:r>
      <w:r>
        <w:rPr>
          <w:rFonts w:ascii="Times New Roman" w:hAnsi="Times New Roman" w:cs="Times New Roman" w:eastAsia="Times New Roman"/>
          <w:color w:val="000000"/>
          <w:spacing w:val="0"/>
          <w:position w:val="0"/>
          <w:sz w:val="28"/>
          <w:shd w:fill="auto" w:val="clear"/>
        </w:rPr>
        <w:t xml:space="preserve">по улице Луначарского в районе улицы Краснодарская;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на дорогах и улицах с двухсторонним движением с двумя и более полосами для движения в данном направлении, а также на дорогах с односторонним движением с тремя и более полосами знак 5.19.1 дублируют над проезжей частью;</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в местах концентрации ДТП, в районе расположения детских учебных учреждений и пешеходных переходов с большой интенсивностью пешеходного движения между линиями разметки 1.14.1 необходимо окрашивать покрытие проезжей части краской для дорожной разметки желтого цвета или устраивать желтое покрытие противоскольжения.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Наряду с нормативным оборудованием пешеходных переходов ТСОДД, целесообразно предусмотреть реализацию мероприятий по повышению видимости пешеходных переходов за счет применения современных технических средств: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дорожных знаков с внутренним освещением;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дублирования дорожных знаков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Пешеходный переход</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над проезжей частью с встроенными светодиодными светильниками уличного освещения;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комплекса светодиодной индикации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Пешеходный переход</w:t>
      </w: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дублирование линий дорожной разметки световозвращателями дорожными;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распространение световозвращающих элементов (фликеров) среди жителей;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изготовление и распространение световозвращающих элементов (брелоков, наклеек и т.п.) в среде дошкольников и учащихся младших классов.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Также необходимо проводить образовательные мероприятия в школах и детских садах, направленные на повышение культуры поведения на дороге и изучение правил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создание серии видеофильмов по безопасному поведению на дорогах и улицах для внеклассной работы с учащимися общеобразовательных учреждений и воспитанниками учреждений дополнительного образования;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разработка и тиражирование научно-методических материалов, образовательных программ, печатных и электронных учебных пособий по безопасному поведению на дорогах и улицах;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создание видео- и телевизионной информационно-пропагандистской продукции, организация тематической (социальной) наружной рекламы (баннеры, перетяжки), а также размещение материалов в средствах массовой информации, общественном транспорте, кинотеатрах и т.д.</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3 - Мероприятия  по организации движения пешеходов</w:t>
      </w:r>
    </w:p>
    <w:tbl>
      <w:tblPr>
        <w:tblInd w:w="108" w:type="dxa"/>
      </w:tblPr>
      <w:tblGrid>
        <w:gridCol w:w="1128"/>
        <w:gridCol w:w="2311"/>
        <w:gridCol w:w="2376"/>
        <w:gridCol w:w="2121"/>
        <w:gridCol w:w="1845"/>
      </w:tblGrid>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Улица</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Мероприятие</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Протяженность</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Ширина</w:t>
            </w:r>
          </w:p>
        </w:tc>
      </w:tr>
      <w:tr>
        <w:trPr>
          <w:trHeight w:val="340" w:hRule="auto"/>
          <w:jc w:val="left"/>
        </w:trPr>
        <w:tc>
          <w:tcPr>
            <w:tcW w:w="9781" w:type="dxa"/>
            <w:gridSpan w:val="5"/>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 Новотитаровская</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ул.Восточная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1130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ул.Советская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строительство</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Ул.Заречная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ул.Калинина</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ул.Коммунаров</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ул.Крайняя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4350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ул.Красноармейская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630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ул.Краснодарская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ул.Леваневского</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ул.Ленина</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4340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ул.Октябрьская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1860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ул.Почтовая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ул.Продольная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1080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ул.Сельская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ул.Тельмана</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910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ул.Ф.Энгельса</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r>
        <w:trPr>
          <w:trHeight w:val="340" w:hRule="auto"/>
          <w:jc w:val="left"/>
        </w:trPr>
        <w:tc>
          <w:tcPr>
            <w:tcW w:w="9781" w:type="dxa"/>
            <w:gridSpan w:val="5"/>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х.Карла Маркса</w:t>
            </w:r>
          </w:p>
        </w:tc>
      </w:tr>
      <w:tr>
        <w:trPr>
          <w:trHeight w:val="340" w:hRule="auto"/>
          <w:jc w:val="left"/>
        </w:trPr>
        <w:tc>
          <w:tcPr>
            <w:tcW w:w="112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231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ул.Южная</w:t>
            </w:r>
          </w:p>
        </w:tc>
        <w:tc>
          <w:tcPr>
            <w:tcW w:w="23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12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1800</w:t>
            </w:r>
          </w:p>
        </w:tc>
        <w:tc>
          <w:tcPr>
            <w:tcW w:w="184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r>
    </w:tbl>
    <w:p>
      <w:pPr>
        <w:suppressAutoHyphens w:val="true"/>
        <w:spacing w:before="0" w:after="120" w:line="276"/>
        <w:ind w:right="0" w:left="0" w:firstLine="0"/>
        <w:jc w:val="center"/>
        <w:rPr>
          <w:rFonts w:ascii="Times New Roman" w:hAnsi="Times New Roman" w:cs="Times New Roman" w:eastAsia="Times New Roman"/>
          <w:color w:val="000000"/>
          <w:spacing w:val="0"/>
          <w:position w:val="0"/>
          <w:sz w:val="24"/>
          <w:shd w:fill="auto" w:val="clear"/>
        </w:rPr>
      </w:pPr>
    </w:p>
    <w:p>
      <w:pPr>
        <w:suppressAutoHyphens w:val="true"/>
        <w:spacing w:before="0" w:after="12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8"/>
          <w:shd w:fill="auto" w:val="clear"/>
        </w:rPr>
        <w:t xml:space="preserve">3.19 </w:t>
      </w:r>
      <w:r>
        <w:rPr>
          <w:rFonts w:ascii="Times New Roman" w:hAnsi="Times New Roman" w:cs="Times New Roman" w:eastAsia="Times New Roman"/>
          <w:b/>
          <w:color w:val="000000"/>
          <w:spacing w:val="0"/>
          <w:position w:val="0"/>
          <w:sz w:val="28"/>
          <w:shd w:fill="auto" w:val="clear"/>
        </w:rPr>
        <w:t xml:space="preserve">Обеспечение благоприятных условий для движения инвалидов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Мероприятия по обеспечению доступности объектов для маломобильных групп населения должны выполняться на основании требований: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ГОСТ Р 52875-2007 Указатели тактильные наземные для инвалидов по зрению. Технические требования - Принят и введен в действие Приказом Федерального агентства по техническому регулированию и метрологии от 27 декабря 2007 года № 553-ст.</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СП 59.13330.2016 Доступность зданий и сооружений для маломобильных групп населения. Утвержден Министерством строительства и жилищно-коммунального хозяйства Российской Федерации, 14.11.2016.</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ОДМ 218.2.007-2011 Отраслевой дорожный методический документ. Методические рекомендации по проектированию мероприятий по обеспечению доступа инвалидов к объектам дорожного хозяйства - Издан на основании Распоряжения Федерального дорожного агентства от 05.06.2013 г. №758-р.</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Для инвалидов с дефектами зрения, в том числе полностью слепых, 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(стойками, опорами, рекламными конструкциями, деревьями и др.), а также на посадочных площадках остановочных пунктов.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На основании СП 59.13330.2016  Ширина пешеходного пути с учетом встречного движения инвалидов на креслах-колясках должна быть не менее 2,0 м.</w:t>
      </w:r>
      <w:r>
        <w:rPr>
          <w:rFonts w:ascii="Times New Roman" w:hAnsi="Times New Roman" w:cs="Times New Roman" w:eastAsia="Times New Roman"/>
          <w:color w:val="000000"/>
          <w:spacing w:val="0"/>
          <w:position w:val="0"/>
          <w:sz w:val="28"/>
          <w:shd w:fill="FFFFFF" w:val="clear"/>
        </w:rPr>
        <w:t xml:space="preserve"> В условиях сложившейся застройки в затесненных местах допускается в пределах прямой видимости снижать ширину пешеходного пути движения до 1,2 м.</w:t>
      </w:r>
      <w:r>
        <w:rPr>
          <w:rFonts w:ascii="Times New Roman" w:hAnsi="Times New Roman" w:cs="Times New Roman" w:eastAsia="Times New Roman"/>
          <w:color w:val="000000"/>
          <w:spacing w:val="0"/>
          <w:position w:val="0"/>
          <w:sz w:val="28"/>
          <w:shd w:fill="auto" w:val="clear"/>
        </w:rPr>
        <w:t xml:space="preserve"> Высоту бортовых камней (бордюров) по краям пешеходных путей на участке вдоль газонов и озелененных площадок следует принимать не менее 0,05 м. Перепад высот бортовых камней вдоль эксплуатируемых газонов и озелененных площадок, примыкающих к путям пешеходного движения, не должен превышать 0,025 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Перепад высот между нижней гранью съезда и проезжей частью не должен превышать 0,015 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Мероприятия по улучшению условий для инвалидов и других маломобильных групп населения:</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обустройство тротуаров и пешеходных дорожек тактильной плиткой согласно ГОСТ Р 51671-2000  и ГОСТ Р 52875-2007 по ул. Советская около Администрации СП.</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3.20 </w:t>
      </w:r>
      <w:r>
        <w:rPr>
          <w:rFonts w:ascii="Times New Roman" w:hAnsi="Times New Roman" w:cs="Times New Roman" w:eastAsia="Times New Roman"/>
          <w:b/>
          <w:color w:val="auto"/>
          <w:spacing w:val="0"/>
          <w:position w:val="0"/>
          <w:sz w:val="28"/>
          <w:shd w:fill="auto" w:val="clear"/>
        </w:rPr>
        <w:t xml:space="preserve">Обеспечение маршрутов безопасного движения детей к образовательным организациям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является обеспечение безопасности движения транспортных и пешеходных потоков.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Основными задачами по достижению указанной цели являются: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предотвращение дорожно-транспортных происшествий;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устранение нарушений стандартов, норм и правил, действующих в области обеспечения безопасности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обеспечение условий для соблюдения водителями правил дорожного движения на пешеходных переходах.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tab/>
      </w:r>
      <w:r>
        <w:rPr>
          <w:rFonts w:ascii="Times New Roman" w:hAnsi="Times New Roman" w:cs="Times New Roman" w:eastAsia="Times New Roman"/>
          <w:color w:val="000000"/>
          <w:spacing w:val="0"/>
          <w:position w:val="0"/>
          <w:sz w:val="28"/>
          <w:shd w:fill="FFFFFF" w:val="clear"/>
        </w:rPr>
        <w:t xml:space="preserve">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заблаговременное предупреждение участников дорожного движения о возможном появлении детей на проезжей части;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создание безопасных условий движения, как в районе организаций, так и на подходах к ним.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К числу мероприятий, позволяющих обеспечить безопасные маршруты движения детей относятся: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устройство ограждений перильного типа;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w:t>
      </w:r>
      <w:r>
        <w:rPr>
          <w:rFonts w:ascii="Times New Roman" w:hAnsi="Times New Roman" w:cs="Times New Roman" w:eastAsia="Times New Roman"/>
          <w:color w:val="000000"/>
          <w:spacing w:val="0"/>
          <w:position w:val="0"/>
          <w:sz w:val="28"/>
          <w:shd w:fill="auto" w:val="clear"/>
        </w:rPr>
        <w:t xml:space="preserve">устройство пешеходных переходов с техническими средствами, повышающими видимость;</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устройство технических средств для принудительного снижения скорости (шумовые полосы, искусственные неровности);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установка знаков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Осторожно дети</w:t>
      </w: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установка средств фото- и видеофиксации.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Мероприятия по обеспечению маршрутов безопасного движения детей к образовательным организациям включают в себя: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создание Плана-схемы микрорайона образовательной организации;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разработка и утверждение Паспорта дорожной безопасности образовательного учреждения.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План-схема микрорайона образовательной организации представляет собой уменьшенную модель микрорайона образовательной организации с указанием улиц, их пересечений, средств организации дорожного движения, участков, представляющих наибольшую опасность и рекомендуемых пешеходных маршрутов.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План-схема микрорайона образовательной организации оформляется отдельным стендом и располагается на видном, легкодоступном месте в вестибюле образовательной организации.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Район расположения образовательной организации определяется группой жилых домов, зданий и улично-дорожной сетью с учетом остановок общественного транспорта, центром которого является непосредственно образовательная организация.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Территория, указанная на схеме, должна включать:</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образовательную организацию;</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стадион вне территории образовательной организации, на котором могут проводиться занятия по физической культуре (при наличии);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парк, в котором могут проводиться занятия с детьми на открытом воздухе (при наличии);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 </w:t>
      </w:r>
      <w:r>
        <w:rPr>
          <w:rFonts w:ascii="Times New Roman" w:hAnsi="Times New Roman" w:cs="Times New Roman" w:eastAsia="Times New Roman"/>
          <w:color w:val="000000"/>
          <w:spacing w:val="0"/>
          <w:position w:val="0"/>
          <w:sz w:val="28"/>
          <w:shd w:fill="auto" w:val="clear"/>
        </w:rPr>
        <w:t xml:space="preserve">проезжую часть и тротуары.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На схеме должны быть обозначены: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расположение жилых домов, зданий и сооружений;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сеть автомобильных дорог; - пути движения транспортных средств;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пути движения детей (обучающихся, воспитанников) в образовательные организации и обратно;</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опасные участки (места несанкционированных переходов на подходах к образовательной организации, места имевших место случаев дорожно-транспортных происшествий с участием детей-пешеходов и детей- велосипедистов);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наземные (регулируемые и нерегулируемые) и подземные (надземные) пешеходные переходы;</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названия улиц и нумерация домов.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Схема необходима для общего представления о районе расположения образовательной организации. На схеме обозначены наиболее частые пути  движения детей от дома (от отдаленных остановок маршрутных транспортных средств) к образовательной организации и обратно.</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При исследовании маршрутов движения детей необходимо уделить особое внимание опасным зонам, где дети (обучающиеся, воспитанники) пересекают проезжие части дорог не по пешеходному переходу.</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Проведенный в рамках разработки настоящей КСОДД анализ официальных документарных данных из общедоступных достоверных источников выявил отсутствие нормативных правовых актов органов местного самоуправления Новотитаровского сельского поселения, Краснодарского края, органов государственной власти субъекта Федерации, касающихся организации разработки и утверждения Паспортов дорожной безопасности образовательных организаций Новотитаровского сельского поселения. Также отсутствует информация о наличии таких Паспортов в образовательных организациях муниципального образования.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Исходя из изложенного, в целях обеспечения маршрутов безопасного движения детей к образовательным организациям, предлагается администрации Новотитаровского сельского поселения  при наличии соответствующих полномочий организовать разработку и утверждение Паспортов дорожной безопасности образовательных организаций Новотитаровского сельского поселения.</w:t>
      </w:r>
    </w:p>
    <w:p>
      <w:pPr>
        <w:suppressAutoHyphens w:val="true"/>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На территории СП находится 4 школы и 6 садиков. Численность учащихся составляет  2529 человек и 1057 детей, посещающих детские сады. </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4 - Наименование образовательных учреждений Новотитаровского сельского поселения</w:t>
      </w:r>
    </w:p>
    <w:tbl>
      <w:tblPr>
        <w:tblInd w:w="108" w:type="dxa"/>
      </w:tblPr>
      <w:tblGrid>
        <w:gridCol w:w="872"/>
        <w:gridCol w:w="4815"/>
        <w:gridCol w:w="4094"/>
      </w:tblGrid>
      <w:tr>
        <w:trPr>
          <w:trHeight w:val="215"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bottom"/>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Наименование</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bottom"/>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Адрес</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СОШ № 29</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r>
              <w:rPr>
                <w:rFonts w:ascii="Times New Roman" w:hAnsi="Times New Roman" w:cs="Times New Roman" w:eastAsia="Times New Roman"/>
                <w:color w:val="auto"/>
                <w:spacing w:val="0"/>
                <w:position w:val="0"/>
                <w:sz w:val="24"/>
                <w:shd w:fill="auto" w:val="clear"/>
              </w:rPr>
              <w:t xml:space="preserve">ул. Луначарского, 169</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СОШ № 34</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r>
              <w:rPr>
                <w:rFonts w:ascii="Times New Roman" w:hAnsi="Times New Roman" w:cs="Times New Roman" w:eastAsia="Times New Roman"/>
                <w:color w:val="auto"/>
                <w:spacing w:val="0"/>
                <w:position w:val="0"/>
                <w:sz w:val="24"/>
                <w:shd w:fill="auto" w:val="clear"/>
              </w:rPr>
              <w:t xml:space="preserve">Калинина, 6</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СОШ № 35</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r>
              <w:rPr>
                <w:rFonts w:ascii="Times New Roman" w:hAnsi="Times New Roman" w:cs="Times New Roman" w:eastAsia="Times New Roman"/>
                <w:color w:val="auto"/>
                <w:spacing w:val="0"/>
                <w:position w:val="0"/>
                <w:sz w:val="24"/>
                <w:shd w:fill="auto" w:val="clear"/>
              </w:rPr>
              <w:t xml:space="preserve">Широкая, 46</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ООШ № 9</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х. Карла Маркса, Южная, 90/2</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НОУ СОШ № 1 </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r>
              <w:rPr>
                <w:rFonts w:ascii="Times New Roman" w:hAnsi="Times New Roman" w:cs="Times New Roman" w:eastAsia="Times New Roman"/>
                <w:color w:val="auto"/>
                <w:spacing w:val="0"/>
                <w:position w:val="0"/>
                <w:sz w:val="24"/>
                <w:shd w:fill="auto" w:val="clear"/>
              </w:rPr>
              <w:t xml:space="preserve">Ул. Луначарского, 169</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ДДУ № 11</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Советская, 59</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ДДУ № 14</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 194</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ДДУ № 16</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 24</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ДДУ № 63</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 21/1</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ДДУ № 59</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r>
              <w:rPr>
                <w:rFonts w:ascii="Times New Roman" w:hAnsi="Times New Roman" w:cs="Times New Roman" w:eastAsia="Times New Roman"/>
                <w:color w:val="auto"/>
                <w:spacing w:val="0"/>
                <w:position w:val="0"/>
                <w:sz w:val="24"/>
                <w:shd w:fill="auto" w:val="clear"/>
              </w:rPr>
              <w:t xml:space="preserve">ул. Дзержинского, 15/а</w:t>
            </w:r>
          </w:p>
        </w:tc>
      </w:tr>
      <w:tr>
        <w:trPr>
          <w:trHeight w:val="510" w:hRule="auto"/>
          <w:jc w:val="left"/>
        </w:trPr>
        <w:tc>
          <w:tcPr>
            <w:tcW w:w="872"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48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w:t>
            </w:r>
          </w:p>
        </w:tc>
        <w:tc>
          <w:tcPr>
            <w:tcW w:w="4815" w:type="dxa"/>
            <w:tcBorders>
              <w:top w:val="single" w:color="000001" w:sz="4"/>
              <w:left w:val="single" w:color="000001" w:sz="4"/>
              <w:bottom w:val="single" w:color="000001" w:sz="4"/>
              <w:right w:val="single" w:color="000001"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МОУ ДДУ № 61</w:t>
            </w:r>
          </w:p>
        </w:tc>
        <w:tc>
          <w:tcPr>
            <w:tcW w:w="4094" w:type="dxa"/>
            <w:tcBorders>
              <w:top w:val="single" w:color="000001" w:sz="4"/>
              <w:left w:val="single" w:color="000001" w:sz="4"/>
              <w:bottom w:val="single" w:color="000001" w:sz="4"/>
              <w:right w:val="single" w:color="000001"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 Новотитаровская, </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Широкая, 2</w:t>
            </w:r>
          </w:p>
        </w:tc>
      </w:tr>
    </w:tbl>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3.21 </w:t>
      </w:r>
      <w:r>
        <w:rPr>
          <w:rFonts w:ascii="Times New Roman" w:hAnsi="Times New Roman" w:cs="Times New Roman" w:eastAsia="Times New Roman"/>
          <w:b/>
          <w:color w:val="auto"/>
          <w:spacing w:val="0"/>
          <w:position w:val="0"/>
          <w:sz w:val="28"/>
          <w:shd w:fill="auto" w:val="clear"/>
        </w:rPr>
        <w:t xml:space="preserve">Организация велосипедного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ab/>
      </w:r>
      <w:r>
        <w:rPr>
          <w:rFonts w:ascii="Times New Roman" w:hAnsi="Times New Roman" w:cs="Times New Roman" w:eastAsia="Times New Roman"/>
          <w:color w:val="000000"/>
          <w:spacing w:val="0"/>
          <w:position w:val="0"/>
          <w:sz w:val="28"/>
          <w:shd w:fill="auto" w:val="clear"/>
        </w:rPr>
        <w:t xml:space="preserve">В соответствии с планами по развитию Новотитаровского сельского поселения, отдельное строительство велосипедных дорожек не предусмотрено и предполагается, что для передвижения на велосипедах будет использоваться существующая улично-дорожная сеть. Потребности велосипедистов следует учитывать на всех участках улично-дорожной сети (УДС), а также при планировании новых разработок, где могут быть возможности создания маршрутов в обход существующих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узких мест</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Также важно, чтобы велосипедистам были доступны удобные парковочные места вблизи объектов  притяжения. Реализация этих решений приведет к большей стабильности транспортной системы, поощрению использования велотранспорта и, таким образом, будет содействовать достижению одной из основных целей Транспортной стратегии Российской Федерации на период </w:t>
      </w:r>
      <w:r>
        <w:rPr>
          <w:rFonts w:ascii="Times New Roman" w:hAnsi="Times New Roman" w:cs="Times New Roman" w:eastAsia="Times New Roman"/>
          <w:color w:val="000000"/>
          <w:spacing w:val="0"/>
          <w:position w:val="0"/>
          <w:sz w:val="28"/>
          <w:shd w:fill="FFFFFF" w:val="clear"/>
        </w:rPr>
        <w:t xml:space="preserve">до 2020 года</w:t>
      </w:r>
      <w:r>
        <w:rPr>
          <w:rFonts w:ascii="Times New Roman" w:hAnsi="Times New Roman" w:cs="Times New Roman" w:eastAsia="Times New Roman"/>
          <w:color w:val="000000"/>
          <w:spacing w:val="0"/>
          <w:position w:val="0"/>
          <w:sz w:val="28"/>
          <w:shd w:fill="auto" w:val="clear"/>
        </w:rPr>
        <w:t xml:space="preserve">. К объектам, обеспечивающим велосипедное движение, относятся: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велосипедные дорожки;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места временного хранения велотранспорта (велопарковки).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Предлагается создание велопешеходных дорожек для использования в качестве альтернативы автомобильному транспорту при поездках на работу, к местам массового отдыха и развлечений. Для решения этих задач предлагается создание общего пространства для использования велосипедистами и пешеходами. Согласно СП 42.13330.2016 - "Градостроительство. Планировка и застройка городских и сельских поселений", проектирование велосипедных дорожек следует осуществлять в соответствии с характеристиками, приведенными ниже в таблицах 5-6.</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Мероприятие по организации велосипедных дорожек и велополос: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 ул. Тельмана, ул. Выгонная, ул. Широкая совместить велодорожку с пешеходной дорожкой протяженностью 2300 м. И установить знаки 4.5.2 "Пешеходная и велосипедная дорожка с совмещенным движением". </w:t>
      </w:r>
    </w:p>
    <w:p>
      <w:pPr>
        <w:suppressAutoHyphens w:val="true"/>
        <w:spacing w:before="0" w:after="0" w:line="276"/>
        <w:ind w:right="0" w:left="0" w:firstLine="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5</w:t>
      </w:r>
    </w:p>
    <w:tbl>
      <w:tblPr>
        <w:tblInd w:w="524" w:type="dxa"/>
      </w:tblPr>
      <w:tblGrid>
        <w:gridCol w:w="4813"/>
        <w:gridCol w:w="4552"/>
      </w:tblGrid>
      <w:tr>
        <w:trPr>
          <w:trHeight w:val="1" w:hRule="atLeast"/>
          <w:jc w:val="left"/>
        </w:trPr>
        <w:tc>
          <w:tcPr>
            <w:tcW w:w="481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Категория дорог и улиц</w:t>
            </w:r>
          </w:p>
        </w:tc>
        <w:tc>
          <w:tcPr>
            <w:tcW w:w="455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Основное назначение дорог и улиц</w:t>
            </w:r>
          </w:p>
        </w:tc>
      </w:tr>
      <w:tr>
        <w:trPr>
          <w:trHeight w:val="3461" w:hRule="auto"/>
          <w:jc w:val="left"/>
        </w:trPr>
        <w:tc>
          <w:tcPr>
            <w:tcW w:w="481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Велосипедные дорожки:</w:t>
            </w: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составе поперечного профиля УДС</w:t>
            </w: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20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 рекреационных территориях, в жилых зонах и т.п.</w:t>
            </w:r>
          </w:p>
        </w:tc>
        <w:tc>
          <w:tcPr>
            <w:tcW w:w="455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p>
            <w:pPr>
              <w:suppressAutoHyphens w:val="true"/>
              <w:spacing w:before="0" w:after="20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Специально выделенная полоса для проезда на велосипедах</w:t>
            </w:r>
          </w:p>
        </w:tc>
      </w:tr>
    </w:tbl>
    <w:p>
      <w:pPr>
        <w:suppressAutoHyphens w:val="true"/>
        <w:spacing w:before="0" w:after="0" w:line="276"/>
        <w:ind w:right="0" w:left="0" w:firstLine="0"/>
        <w:jc w:val="right"/>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righ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6</w:t>
      </w:r>
    </w:p>
    <w:tbl>
      <w:tblPr>
        <w:tblInd w:w="524" w:type="dxa"/>
      </w:tblPr>
      <w:tblGrid>
        <w:gridCol w:w="2419"/>
        <w:gridCol w:w="1560"/>
        <w:gridCol w:w="1546"/>
        <w:gridCol w:w="1559"/>
        <w:gridCol w:w="1319"/>
        <w:gridCol w:w="962"/>
      </w:tblGrid>
      <w:tr>
        <w:trPr>
          <w:trHeight w:val="1" w:hRule="atLeast"/>
          <w:jc w:val="left"/>
        </w:trPr>
        <w:tc>
          <w:tcPr>
            <w:tcW w:w="241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Категория дорог и улиц</w:t>
            </w:r>
          </w:p>
        </w:tc>
        <w:tc>
          <w:tcPr>
            <w:tcW w:w="1560"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Расчетная скорость движения, км/час</w:t>
            </w:r>
          </w:p>
        </w:tc>
        <w:tc>
          <w:tcPr>
            <w:tcW w:w="154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Ширина полосы движения, м</w:t>
            </w:r>
          </w:p>
        </w:tc>
        <w:tc>
          <w:tcPr>
            <w:tcW w:w="155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Число полос движения (суммарно в двух направлениях)</w:t>
            </w:r>
          </w:p>
        </w:tc>
        <w:tc>
          <w:tcPr>
            <w:tcW w:w="131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Наименьший радиус кривых в плане, м</w:t>
            </w:r>
          </w:p>
        </w:tc>
        <w:tc>
          <w:tcPr>
            <w:tcW w:w="96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Наибольший продольный уклон, %</w:t>
            </w:r>
          </w:p>
        </w:tc>
      </w:tr>
      <w:tr>
        <w:trPr>
          <w:trHeight w:val="1" w:hRule="atLeast"/>
          <w:jc w:val="left"/>
        </w:trPr>
        <w:tc>
          <w:tcPr>
            <w:tcW w:w="241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Велосипедные дорожки:</w:t>
            </w: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составе поперечного профиля УДС</w:t>
            </w:r>
          </w:p>
          <w:p>
            <w:pPr>
              <w:suppressAutoHyphens w:val="true"/>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uppressAutoHyphens w:val="true"/>
              <w:spacing w:before="0" w:after="20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 рекреационных территориях, в жилых зонах и т.п.</w:t>
            </w:r>
          </w:p>
        </w:tc>
        <w:tc>
          <w:tcPr>
            <w:tcW w:w="1560"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20</w:t>
            </w:r>
          </w:p>
        </w:tc>
        <w:tc>
          <w:tcPr>
            <w:tcW w:w="154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1,50*</w: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1,00*</w: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1,50*</w:t>
            </w:r>
          </w:p>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1,00*</w:t>
            </w:r>
          </w:p>
        </w:tc>
        <w:tc>
          <w:tcPr>
            <w:tcW w:w="155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1-2</w: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2</w: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1-2</w:t>
            </w:r>
          </w:p>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w:t>
            </w:r>
          </w:p>
        </w:tc>
        <w:tc>
          <w:tcPr>
            <w:tcW w:w="131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25</w: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25</w:t>
            </w:r>
          </w:p>
        </w:tc>
        <w:tc>
          <w:tcPr>
            <w:tcW w:w="96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70</w:t>
            </w: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70</w:t>
            </w:r>
          </w:p>
        </w:tc>
      </w:tr>
    </w:tbl>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Рекомендуемые характеристики велосипедных дорожек:</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ширина совмещенной велопешеходной дорожки от 2,5 до 4 м (допускается 2 м в стесненных условиях), при существующей или планируемой интенсивности движения не более 30 вел/час и 50 пеш/час;</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 </w:t>
      </w:r>
      <w:r>
        <w:rPr>
          <w:rFonts w:ascii="Times New Roman" w:hAnsi="Times New Roman" w:cs="Times New Roman" w:eastAsia="Times New Roman"/>
          <w:color w:val="000000"/>
          <w:spacing w:val="0"/>
          <w:position w:val="0"/>
          <w:sz w:val="28"/>
          <w:shd w:fill="auto" w:val="clear"/>
        </w:rPr>
        <w:t xml:space="preserve">для дорожек с высокой интенсивностью движения, ширина односторонней дорожки от 1,5 до 2 м (минимум 1,2 м), двусторонней от 2,5 до 4 м (минимум 2 м, допускается 1,5 м при интенсивностях до 60 вел/час);</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для дорожек в одном уровне с проезжей частью требуется барьерное ограждение на опасных участках дорог (из условий величины поперечных радиусов, видимости, интенсивности и скоростного режима ТП);</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ширина обочины в случае наличия барьерного ограждения 0,5 м; - покрытие велосипедных дорожек устраивают из цементобетона, асфальтобетона и каменных материалов, обработанных органическими вяжущими (возможно применение крупной бетонной плитки).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При малой интенсивности велосипедного движения покрытие выполняется из местных водоустойчивых материалов, например, каменных материалов низкой прочности, крупной гранитной высевки и др.  В соответствии с ГОСТ Р 52289-2004:</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обособленная велодорожка оборудуется дорожными знаками 4.4.1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Велосипедная дорожка или полоса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4.4.2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Конец велосипедной дорожки или полосы</w:t>
      </w: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велопешеходная дорожка с разделением потоков оборудуется дорожными знаками 4.5.4, 4.5.5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Пешеходная и велосипедная дорожка с разделением движения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4.5.6, 4.5.7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Конец пешеходной и велосипедной дорожки с разделением движения</w:t>
      </w: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совмещенная велопешеходная дорожка оборудуется дорожными знаками 4.5.2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Пешеходная и велосипедная дорожка с совмещенным движением</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 4.5.4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Конец пешеходной и велосипедной дорожки с совмещенным движением</w:t>
      </w: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пешеходная дорожка оборудуется дорожным знаком 4.5.1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Пешеходная дорожка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Предлагается организовать велопарковки, расположенные у мест массового отдыха и развлечений, у мест работы, возле магазинов и торговых центров, у автовокзала.</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7   - Мероприятия по организации велополос и велосипедных дорожек</w:t>
      </w: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8"/>
          <w:shd w:fill="auto" w:val="clear"/>
        </w:rPr>
      </w:pPr>
    </w:p>
    <w:tbl>
      <w:tblPr>
        <w:tblInd w:w="250" w:type="dxa"/>
      </w:tblPr>
      <w:tblGrid>
        <w:gridCol w:w="430"/>
        <w:gridCol w:w="1701"/>
        <w:gridCol w:w="2127"/>
        <w:gridCol w:w="2126"/>
        <w:gridCol w:w="1701"/>
        <w:gridCol w:w="1417"/>
      </w:tblGrid>
      <w:tr>
        <w:trPr>
          <w:trHeight w:val="1" w:hRule="atLeast"/>
          <w:jc w:val="left"/>
        </w:trPr>
        <w:tc>
          <w:tcPr>
            <w:tcW w:w="430" w:type="dxa"/>
            <w:tcBorders>
              <w:top w:val="single" w:color="00000a" w:sz="4"/>
              <w:left w:val="single" w:color="00000a" w:sz="4"/>
              <w:bottom w:val="single" w:color="00000a" w:sz="4"/>
              <w:right w:val="single" w:color="00000a" w:sz="4"/>
            </w:tcBorders>
            <w:shd w:color="auto" w:fill="ffffff" w:val="clear"/>
            <w:tcMar>
              <w:left w:w="56" w:type="dxa"/>
              <w:right w:w="56" w:type="dxa"/>
            </w:tcMar>
            <w:vAlign w:val="center"/>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t>
            </w:r>
          </w:p>
        </w:tc>
        <w:tc>
          <w:tcPr>
            <w:tcW w:w="1701" w:type="dxa"/>
            <w:tcBorders>
              <w:top w:val="single" w:color="00000a" w:sz="4"/>
              <w:left w:val="single" w:color="00000a" w:sz="4"/>
              <w:bottom w:val="single" w:color="00000a" w:sz="4"/>
              <w:right w:val="single" w:color="00000a" w:sz="4"/>
            </w:tcBorders>
            <w:shd w:color="auto" w:fill="ffffff" w:val="clear"/>
            <w:tcMar>
              <w:left w:w="56" w:type="dxa"/>
              <w:right w:w="56" w:type="dxa"/>
            </w:tcMar>
            <w:vAlign w:val="center"/>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Улица</w:t>
            </w:r>
          </w:p>
        </w:tc>
        <w:tc>
          <w:tcPr>
            <w:tcW w:w="2127" w:type="dxa"/>
            <w:tcBorders>
              <w:top w:val="single" w:color="00000a" w:sz="4"/>
              <w:left w:val="single" w:color="00000a" w:sz="4"/>
              <w:bottom w:val="single" w:color="00000a" w:sz="4"/>
              <w:right w:val="single" w:color="00000a" w:sz="4"/>
            </w:tcBorders>
            <w:shd w:color="auto" w:fill="ffffff" w:val="clear"/>
            <w:tcMar>
              <w:left w:w="56" w:type="dxa"/>
              <w:right w:w="56" w:type="dxa"/>
            </w:tcMar>
            <w:vAlign w:val="center"/>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Тип</w:t>
            </w:r>
          </w:p>
        </w:tc>
        <w:tc>
          <w:tcPr>
            <w:tcW w:w="2126" w:type="dxa"/>
            <w:tcBorders>
              <w:top w:val="single" w:color="00000a" w:sz="4"/>
              <w:left w:val="single" w:color="00000a" w:sz="4"/>
              <w:bottom w:val="single" w:color="00000a" w:sz="4"/>
              <w:right w:val="single" w:color="00000a" w:sz="4"/>
            </w:tcBorders>
            <w:shd w:color="auto" w:fill="ffffff" w:val="clear"/>
            <w:tcMar>
              <w:left w:w="56" w:type="dxa"/>
              <w:right w:w="56" w:type="dxa"/>
            </w:tcMar>
            <w:vAlign w:val="center"/>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Протяженность, км</w:t>
            </w:r>
          </w:p>
        </w:tc>
        <w:tc>
          <w:tcPr>
            <w:tcW w:w="1701" w:type="dxa"/>
            <w:tcBorders>
              <w:top w:val="single" w:color="00000a" w:sz="4"/>
              <w:left w:val="single" w:color="00000a" w:sz="4"/>
              <w:bottom w:val="single" w:color="00000a" w:sz="4"/>
              <w:right w:val="single" w:color="00000a" w:sz="4"/>
            </w:tcBorders>
            <w:shd w:color="auto" w:fill="ffffff" w:val="clear"/>
            <w:tcMar>
              <w:left w:w="56" w:type="dxa"/>
              <w:right w:w="56" w:type="dxa"/>
            </w:tcMar>
            <w:vAlign w:val="center"/>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Ширина велодорожки, м</w:t>
            </w:r>
          </w:p>
        </w:tc>
        <w:tc>
          <w:tcPr>
            <w:tcW w:w="1417" w:type="dxa"/>
            <w:tcBorders>
              <w:top w:val="single" w:color="00000a" w:sz="4"/>
              <w:left w:val="single" w:color="00000a" w:sz="4"/>
              <w:bottom w:val="single" w:color="00000a" w:sz="4"/>
              <w:right w:val="single" w:color="00000a" w:sz="4"/>
            </w:tcBorders>
            <w:shd w:color="auto" w:fill="ffffff" w:val="clear"/>
            <w:tcMar>
              <w:left w:w="56" w:type="dxa"/>
              <w:right w:w="56" w:type="dxa"/>
            </w:tcMar>
            <w:vAlign w:val="center"/>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Ширина Пешеходной дорожки, м</w:t>
            </w:r>
          </w:p>
        </w:tc>
      </w:tr>
      <w:tr>
        <w:trPr>
          <w:trHeight w:val="1" w:hRule="atLeast"/>
          <w:jc w:val="left"/>
        </w:trPr>
        <w:tc>
          <w:tcPr>
            <w:tcW w:w="430" w:type="dxa"/>
            <w:tcBorders>
              <w:top w:val="single" w:color="00000a" w:sz="4"/>
              <w:left w:val="single" w:color="00000a" w:sz="4"/>
              <w:bottom w:val="single" w:color="00000a" w:sz="4"/>
              <w:right w:val="single" w:color="00000a" w:sz="4"/>
            </w:tcBorders>
            <w:shd w:color="auto" w:fill="ffffff" w:val="clear"/>
            <w:tcMar>
              <w:left w:w="56" w:type="dxa"/>
              <w:right w:w="56" w:type="dxa"/>
            </w:tcMar>
            <w:vAlign w:val="top"/>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w:t>
            </w:r>
          </w:p>
        </w:tc>
        <w:tc>
          <w:tcPr>
            <w:tcW w:w="1701" w:type="dxa"/>
            <w:tcBorders>
              <w:top w:val="single" w:color="00000a" w:sz="4"/>
              <w:left w:val="single" w:color="00000a" w:sz="4"/>
              <w:bottom w:val="single" w:color="00000a" w:sz="4"/>
              <w:right w:val="single" w:color="00000a" w:sz="4"/>
            </w:tcBorders>
            <w:shd w:color="auto" w:fill="ffffff" w:val="clear"/>
            <w:tcMar>
              <w:left w:w="56" w:type="dxa"/>
              <w:right w:w="56" w:type="dxa"/>
            </w:tcMar>
            <w:vAlign w:val="top"/>
          </w:tcPr>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ул. Тельмана</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 xml:space="preserve">ул. Выгонная</w:t>
            </w:r>
          </w:p>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2"/>
                <w:shd w:fill="auto" w:val="clear"/>
              </w:rPr>
              <w:t xml:space="preserve">ул. Широкая</w:t>
            </w:r>
          </w:p>
        </w:tc>
        <w:tc>
          <w:tcPr>
            <w:tcW w:w="2127" w:type="dxa"/>
            <w:tcBorders>
              <w:top w:val="single" w:color="00000a" w:sz="4"/>
              <w:left w:val="single" w:color="00000a" w:sz="4"/>
              <w:bottom w:val="single" w:color="00000a" w:sz="4"/>
              <w:right w:val="single" w:color="00000a" w:sz="4"/>
            </w:tcBorders>
            <w:shd w:color="auto" w:fill="ffffff" w:val="clear"/>
            <w:tcMar>
              <w:left w:w="56" w:type="dxa"/>
              <w:right w:w="56" w:type="dxa"/>
            </w:tcMar>
            <w:vAlign w:val="top"/>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Велодорожка совмещенная с пешеходной дорожкой</w:t>
            </w:r>
          </w:p>
        </w:tc>
        <w:tc>
          <w:tcPr>
            <w:tcW w:w="2126" w:type="dxa"/>
            <w:tcBorders>
              <w:top w:val="single" w:color="00000a" w:sz="4"/>
              <w:left w:val="single" w:color="00000a" w:sz="4"/>
              <w:bottom w:val="single" w:color="00000a" w:sz="4"/>
              <w:right w:val="single" w:color="00000a" w:sz="4"/>
            </w:tcBorders>
            <w:shd w:color="auto" w:fill="ffffff" w:val="clear"/>
            <w:tcMar>
              <w:left w:w="56" w:type="dxa"/>
              <w:right w:w="56" w:type="dxa"/>
            </w:tcMar>
            <w:vAlign w:val="top"/>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2,300</w:t>
            </w:r>
          </w:p>
        </w:tc>
        <w:tc>
          <w:tcPr>
            <w:tcW w:w="1701" w:type="dxa"/>
            <w:tcBorders>
              <w:top w:val="single" w:color="00000a" w:sz="4"/>
              <w:left w:val="single" w:color="00000a" w:sz="4"/>
              <w:bottom w:val="single" w:color="00000a" w:sz="4"/>
              <w:right w:val="single" w:color="00000a" w:sz="4"/>
            </w:tcBorders>
            <w:shd w:color="auto" w:fill="ffffff" w:val="clear"/>
            <w:tcMar>
              <w:left w:w="56" w:type="dxa"/>
              <w:right w:w="56" w:type="dxa"/>
            </w:tcMar>
            <w:vAlign w:val="top"/>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1,5</w:t>
            </w:r>
          </w:p>
        </w:tc>
        <w:tc>
          <w:tcPr>
            <w:tcW w:w="1417" w:type="dxa"/>
            <w:tcBorders>
              <w:top w:val="single" w:color="00000a" w:sz="4"/>
              <w:left w:val="single" w:color="00000a" w:sz="4"/>
              <w:bottom w:val="single" w:color="00000a" w:sz="4"/>
              <w:right w:val="single" w:color="00000a" w:sz="4"/>
            </w:tcBorders>
            <w:shd w:color="auto" w:fill="ffffff" w:val="clear"/>
            <w:tcMar>
              <w:left w:w="56" w:type="dxa"/>
              <w:right w:w="56" w:type="dxa"/>
            </w:tcMar>
            <w:vAlign w:val="top"/>
          </w:tcPr>
          <w:p>
            <w:pPr>
              <w:suppressAutoHyphens w:val="true"/>
              <w:spacing w:before="0" w:after="0" w:line="276"/>
              <w:ind w:right="0" w:left="0" w:firstLine="0"/>
              <w:jc w:val="center"/>
              <w:rPr>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1,5</w:t>
            </w:r>
          </w:p>
        </w:tc>
      </w:tr>
    </w:tbl>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FFFFFF" w:val="clear"/>
        </w:rPr>
        <w:t xml:space="preserve">В перспективе при реконструкции и строительстве дорог предлагается предусматривать устройство пространства для велосипедного движения на этапе разработки документации по реконструкции/строительству. При строительстве новых жилых районов необходимо на этапе проектирования предусмотреть строительство велотранспортной инфраструктуры для создания более разветвленной сети велодорожек.</w:t>
      </w: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3.22 </w:t>
      </w:r>
      <w:r>
        <w:rPr>
          <w:rFonts w:ascii="Times New Roman" w:hAnsi="Times New Roman" w:cs="Times New Roman" w:eastAsia="Times New Roman"/>
          <w:b/>
          <w:color w:val="auto"/>
          <w:spacing w:val="0"/>
          <w:position w:val="0"/>
          <w:sz w:val="28"/>
          <w:shd w:fill="auto" w:val="clear"/>
        </w:rPr>
        <w:t xml:space="preserve">Развитие сети дорог или участков дорог, локально - реконструкционным мероприятиям, повышающим эффективность функционирования сети дорог в целом</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Исходные данные необходимые для организации мероприятий по развитию сети дорог или участков дорог локально-реконструкционными мероприятиями содержат информацию об участках УДС, реконструкция которых повысит пропускную способность УДС и безопасность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Решение о целесообразности и необходимости включения данного мероприятия в перечень мероприятий по организации дорожного движения в Новотитаровском сельском поселении принимается на основании выводов анализа характеристики сложившейся ситуации по ОДД на территории муниципального образования.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На первом этапе разработки настоящей КСОДД был проведен многокомпонентный анализ условий и параметров дорожного движения на УДС муниципального образования, основой которого явились документарные и натурные обследования транспортной обстановки.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Результаты анализа показали, что транспортная сеть Новотитаровского сельского поселения функционирует достаточно эффективно, типичных проблем на УДС (перегруженность дорог, заторы, увеличенные временные издержки при перемещениях и т.п.) не выявлено. К недостаткам организации дорожного движения следует отнести неудовлетворительное покрытие ряда улиц Новотитаровского сельского поселения. Для устранения указанной проблемы предлагаются соответствующие мероприятия, входящие в перечень мероприятий в рамках данной КСОДД.</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Параметры развития улично-дорожной сети установлены проектом Генерального плана Новотитаровского сельского поселения. Строительство новых дорог обуславливается освоением новых территорий в рамках развития жилищного строительства, и служит целям удовлетворения потребностей жителей Новотитаровского сельского поселения в качественных и доступных транспортных услугах.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соответствии с выработанными решениями были реализованы мероприятия по реконструкции и усовершенствованию организации дорожного движения на улично- дорожной сети Новотитаровского сельского поселения (таблица 8).</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8 – Перечень дорог общего пользования местного значения Новотитаровского сельского поселения</w:t>
      </w:r>
    </w:p>
    <w:tbl>
      <w:tblPr>
        <w:tblInd w:w="348" w:type="dxa"/>
      </w:tblPr>
      <w:tblGrid>
        <w:gridCol w:w="709"/>
        <w:gridCol w:w="2268"/>
        <w:gridCol w:w="1276"/>
        <w:gridCol w:w="1417"/>
        <w:gridCol w:w="1701"/>
        <w:gridCol w:w="1843"/>
        <w:gridCol w:w="2269"/>
        <w:gridCol w:w="3966"/>
      </w:tblGrid>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Наименование автомобильной дороги</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Протяженность, км</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Ширина проезжей части</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Кол-во полос</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113" w:left="113"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Покрытие</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Периоды реализации</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Мероприятия</w:t>
            </w:r>
          </w:p>
        </w:tc>
      </w:tr>
      <w:tr>
        <w:trPr>
          <w:trHeight w:val="1" w:hRule="atLeast"/>
          <w:jc w:val="left"/>
        </w:trPr>
        <w:tc>
          <w:tcPr>
            <w:tcW w:w="15449" w:type="dxa"/>
            <w:gridSpan w:val="8"/>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ст. Новотитаровская</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8 Марта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1,6 км</w:t>
            </w:r>
          </w:p>
        </w:tc>
      </w:tr>
      <w:tr>
        <w:trPr>
          <w:trHeight w:val="726"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Броварца</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0,7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1,8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Выгонная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6,29</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Гравий, асфальт,</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грунт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5,3 км</w:t>
            </w:r>
          </w:p>
        </w:tc>
      </w:tr>
      <w:tr>
        <w:trPr>
          <w:trHeight w:val="1364"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Гоголя</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20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1,5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Гражданкина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0,45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Дзержинского</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1,0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Ейское Шоссе</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0,8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Заречная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5,0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Интернациональная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0,5 км</w:t>
            </w:r>
          </w:p>
        </w:tc>
      </w:tr>
      <w:tr>
        <w:trPr>
          <w:trHeight w:val="697"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Казачья</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r>
      <w:tr>
        <w:trPr>
          <w:trHeight w:val="1219"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Калинина</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1,2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Кирова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1,8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Кислицина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0,3 км</w:t>
            </w:r>
          </w:p>
        </w:tc>
      </w:tr>
      <w:tr>
        <w:trPr>
          <w:trHeight w:val="1321"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2268"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Коммунаров</w:t>
            </w:r>
          </w:p>
        </w:tc>
        <w:tc>
          <w:tcPr>
            <w:tcW w:w="1276"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1417"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701"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3,5 км</w:t>
            </w:r>
          </w:p>
        </w:tc>
      </w:tr>
      <w:tr>
        <w:trPr>
          <w:trHeight w:val="804"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2268"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Королева</w:t>
            </w:r>
          </w:p>
        </w:tc>
        <w:tc>
          <w:tcPr>
            <w:tcW w:w="1276"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417"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Крайняя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1,3 км</w:t>
            </w:r>
          </w:p>
        </w:tc>
      </w:tr>
      <w:tr>
        <w:trPr>
          <w:trHeight w:val="1147"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Красноармейская</w:t>
            </w:r>
          </w:p>
        </w:tc>
        <w:tc>
          <w:tcPr>
            <w:tcW w:w="1276"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1,85</w:t>
            </w:r>
          </w:p>
        </w:tc>
        <w:tc>
          <w:tcPr>
            <w:tcW w:w="1417"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701"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43"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1,85 км</w:t>
            </w:r>
          </w:p>
          <w:p>
            <w:pPr>
              <w:suppressAutoHyphens w:val="true"/>
              <w:spacing w:before="0" w:after="0" w:line="240"/>
              <w:ind w:right="0" w:left="0" w:firstLine="0"/>
              <w:jc w:val="center"/>
              <w:rPr>
                <w:spacing w:val="0"/>
                <w:position w:val="0"/>
                <w:shd w:fill="auto" w:val="clear"/>
              </w:rPr>
            </w:pPr>
          </w:p>
        </w:tc>
      </w:tr>
      <w:tr>
        <w:trPr>
          <w:trHeight w:val="1008"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Краснодарская</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2,2 км</w:t>
            </w:r>
          </w:p>
          <w:p>
            <w:pPr>
              <w:suppressAutoHyphens w:val="true"/>
              <w:spacing w:before="0" w:after="0" w:line="240"/>
              <w:ind w:right="0" w:left="0" w:firstLine="0"/>
              <w:jc w:val="center"/>
              <w:rPr>
                <w:spacing w:val="0"/>
                <w:position w:val="0"/>
                <w:shd w:fill="auto" w:val="clear"/>
              </w:rPr>
            </w:pP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Крупской</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1,4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Кубанская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0,3 км</w:t>
            </w:r>
          </w:p>
        </w:tc>
      </w:tr>
      <w:tr>
        <w:trPr>
          <w:trHeight w:val="1054"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Кузнечная</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1,1 км</w:t>
            </w:r>
          </w:p>
          <w:p>
            <w:pPr>
              <w:suppressAutoHyphens w:val="true"/>
              <w:spacing w:before="0" w:after="0" w:line="240"/>
              <w:ind w:right="0" w:left="0" w:firstLine="0"/>
              <w:jc w:val="center"/>
              <w:rPr>
                <w:spacing w:val="0"/>
                <w:position w:val="0"/>
                <w:shd w:fill="auto" w:val="clear"/>
              </w:rPr>
            </w:pPr>
          </w:p>
        </w:tc>
      </w:tr>
      <w:tr>
        <w:trPr>
          <w:trHeight w:val="1199"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Кутузова</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0,9 км</w:t>
            </w:r>
          </w:p>
          <w:p>
            <w:pPr>
              <w:suppressAutoHyphens w:val="true"/>
              <w:spacing w:before="0" w:after="0" w:line="240"/>
              <w:ind w:right="0" w:left="0" w:firstLine="0"/>
              <w:jc w:val="center"/>
              <w:rPr>
                <w:spacing w:val="0"/>
                <w:position w:val="0"/>
                <w:shd w:fill="auto" w:val="clear"/>
              </w:rPr>
            </w:pP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Левоневского</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2,0 км</w:t>
            </w:r>
          </w:p>
        </w:tc>
      </w:tr>
      <w:tr>
        <w:trPr>
          <w:trHeight w:val="1118"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0,93</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0,93 км</w:t>
            </w:r>
          </w:p>
          <w:p>
            <w:pPr>
              <w:suppressAutoHyphens w:val="true"/>
              <w:spacing w:before="0" w:after="0" w:line="240"/>
              <w:ind w:right="0" w:left="0" w:firstLine="0"/>
              <w:jc w:val="center"/>
              <w:rPr>
                <w:spacing w:val="0"/>
                <w:position w:val="0"/>
                <w:shd w:fill="auto" w:val="clear"/>
              </w:rPr>
            </w:pPr>
          </w:p>
        </w:tc>
      </w:tr>
      <w:tr>
        <w:trPr>
          <w:trHeight w:val="1264"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Лермонтова</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0,46</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Грунт,</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Капитальный ремонт покрытия проезжей части автомобильной дороги протяженностью 0,46 км</w:t>
            </w:r>
          </w:p>
          <w:p>
            <w:pPr>
              <w:suppressAutoHyphens w:val="true"/>
              <w:spacing w:before="0" w:after="0" w:line="240"/>
              <w:ind w:right="0" w:left="0" w:firstLine="0"/>
              <w:jc w:val="center"/>
              <w:rPr>
                <w:spacing w:val="0"/>
                <w:position w:val="0"/>
                <w:shd w:fill="auto" w:val="clear"/>
              </w:rPr>
            </w:pP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Ломоносова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0,7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Луговая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0,4 км</w:t>
            </w:r>
          </w:p>
        </w:tc>
      </w:tr>
      <w:tr>
        <w:trPr>
          <w:trHeight w:val="972" w:hRule="auto"/>
          <w:jc w:val="left"/>
        </w:trPr>
        <w:tc>
          <w:tcPr>
            <w:tcW w:w="709"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w:t>
            </w:r>
          </w:p>
        </w:tc>
        <w:tc>
          <w:tcPr>
            <w:tcW w:w="2268"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Луначарского</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7,15</w:t>
            </w:r>
          </w:p>
        </w:tc>
        <w:tc>
          <w:tcPr>
            <w:tcW w:w="1417" w:type="dxa"/>
            <w:tcBorders>
              <w:top w:val="single" w:color="00000a" w:sz="4"/>
              <w:left w:val="single" w:color="00000a" w:sz="4"/>
              <w:bottom w:val="single" w:color="000000" w:sz="0"/>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w:t>
            </w: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701"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w:t>
            </w:r>
          </w:p>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Грунт, </w:t>
            </w:r>
          </w:p>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 </w:t>
            </w:r>
          </w:p>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асфальт</w:t>
            </w:r>
          </w:p>
          <w:p>
            <w:pPr>
              <w:spacing w:before="0" w:after="0" w:line="240"/>
              <w:ind w:right="0" w:left="0" w:firstLine="0"/>
              <w:jc w:val="center"/>
              <w:rPr>
                <w:color w:val="auto"/>
                <w:spacing w:val="0"/>
                <w:position w:val="0"/>
                <w:shd w:fill="auto" w:val="clear"/>
              </w:rPr>
            </w:pPr>
          </w:p>
        </w:tc>
        <w:tc>
          <w:tcPr>
            <w:tcW w:w="2269" w:type="dxa"/>
            <w:tcBorders>
              <w:top w:val="single" w:color="00000a" w:sz="4"/>
              <w:left w:val="single" w:color="00000a" w:sz="4"/>
              <w:bottom w:val="single" w:color="000000" w:sz="0"/>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7,15 км</w:t>
            </w:r>
          </w:p>
        </w:tc>
      </w:tr>
      <w:tr>
        <w:trPr>
          <w:trHeight w:val="1184"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Мира</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 </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 км</w:t>
            </w:r>
          </w:p>
          <w:p>
            <w:pPr>
              <w:suppressAutoHyphens w:val="true"/>
              <w:spacing w:before="0" w:after="0" w:line="240"/>
              <w:ind w:right="0" w:left="0" w:firstLine="0"/>
              <w:jc w:val="center"/>
              <w:rPr>
                <w:spacing w:val="0"/>
                <w:position w:val="0"/>
                <w:shd w:fill="auto" w:val="clear"/>
              </w:rPr>
            </w:pP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Невского</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0,45 км</w:t>
            </w:r>
          </w:p>
        </w:tc>
      </w:tr>
      <w:tr>
        <w:trPr>
          <w:trHeight w:val="1147"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Октябрьская</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Грунт,</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Капитальный ремонт покрытия проезжей части автомобильной дороги протяженностью 4,9 км</w:t>
            </w:r>
          </w:p>
        </w:tc>
      </w:tr>
      <w:tr>
        <w:trPr>
          <w:trHeight w:val="1134"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Геологов</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0,1 км</w:t>
            </w:r>
          </w:p>
          <w:p>
            <w:pPr>
              <w:suppressAutoHyphens w:val="true"/>
              <w:spacing w:before="0" w:after="0" w:line="240"/>
              <w:ind w:right="0" w:left="0" w:firstLine="0"/>
              <w:jc w:val="center"/>
              <w:rPr>
                <w:spacing w:val="0"/>
                <w:position w:val="0"/>
                <w:shd w:fill="auto" w:val="clear"/>
              </w:rPr>
            </w:pP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34</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Кислицина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0,07</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0,07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Коккинаки</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0,3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36</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Кочубея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0,11 км</w:t>
            </w:r>
          </w:p>
        </w:tc>
      </w:tr>
      <w:tr>
        <w:trPr>
          <w:trHeight w:val="952"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37</w:t>
            </w:r>
          </w:p>
        </w:tc>
        <w:tc>
          <w:tcPr>
            <w:tcW w:w="2268"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Кутузова</w:t>
            </w:r>
          </w:p>
        </w:tc>
        <w:tc>
          <w:tcPr>
            <w:tcW w:w="1276"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1417"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0,25 км</w:t>
            </w:r>
          </w:p>
        </w:tc>
      </w:tr>
      <w:tr>
        <w:trPr>
          <w:trHeight w:val="1119"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w:t>
            </w:r>
          </w:p>
        </w:tc>
        <w:tc>
          <w:tcPr>
            <w:tcW w:w="2268"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Ленина</w:t>
            </w:r>
          </w:p>
        </w:tc>
        <w:tc>
          <w:tcPr>
            <w:tcW w:w="1276"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417"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6"/>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p>
            <w:pPr>
              <w:suppressAutoHyphens w:val="true"/>
              <w:spacing w:before="0" w:after="0" w:line="240"/>
              <w:ind w:right="0" w:left="0" w:firstLine="0"/>
              <w:jc w:val="center"/>
              <w:rPr>
                <w:spacing w:val="0"/>
                <w:position w:val="0"/>
                <w:shd w:fill="auto" w:val="clear"/>
              </w:rPr>
            </w:pPr>
          </w:p>
        </w:tc>
      </w:tr>
      <w:tr>
        <w:trPr>
          <w:trHeight w:val="977"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39</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Малый</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0,2 км</w:t>
            </w:r>
          </w:p>
          <w:p>
            <w:pPr>
              <w:suppressAutoHyphens w:val="true"/>
              <w:spacing w:before="0" w:after="0" w:line="240"/>
              <w:ind w:right="0" w:left="0" w:firstLine="0"/>
              <w:jc w:val="center"/>
              <w:rPr>
                <w:spacing w:val="0"/>
                <w:position w:val="0"/>
                <w:shd w:fill="auto" w:val="clear"/>
              </w:rPr>
            </w:pP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Мира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0,15 км</w:t>
            </w:r>
          </w:p>
        </w:tc>
      </w:tr>
      <w:tr>
        <w:trPr>
          <w:trHeight w:val="952"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Молодежный</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Новотитаровский</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 км</w:t>
            </w:r>
          </w:p>
        </w:tc>
      </w:tr>
      <w:tr>
        <w:trPr>
          <w:trHeight w:val="1077"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Прямой</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0,25 км</w:t>
            </w:r>
          </w:p>
          <w:p>
            <w:pPr>
              <w:suppressAutoHyphens w:val="true"/>
              <w:spacing w:before="0" w:after="0" w:line="240"/>
              <w:ind w:right="0" w:left="0" w:firstLine="0"/>
              <w:jc w:val="center"/>
              <w:rPr>
                <w:spacing w:val="0"/>
                <w:position w:val="0"/>
                <w:shd w:fill="auto" w:val="clear"/>
              </w:rPr>
            </w:pPr>
          </w:p>
        </w:tc>
      </w:tr>
      <w:tr>
        <w:trPr>
          <w:trHeight w:val="952"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44</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Светлый</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0,1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Трудовой</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0,25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46</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Первомайская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1,1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47</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Подгорная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0,7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Почтовая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1,9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49</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Привокзальная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Капитальный ремонт покрытия проезжей части автомобильной дороги протяженностью 1,8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Прогонная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1,6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Продольная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1,7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Пролетарская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1,1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Революционная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 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2,1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Розы Люксембург</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1,5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Российская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0,5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56</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Свободная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Асфальт</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Капитальный ремонт покрытия проезжей части автомобильной дороги протяженностью 0,7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57</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Сельская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3,0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58</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Советская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2,1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Солидарности</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0,7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Солнечная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w:t>
            </w:r>
          </w:p>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Асфальт</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4,95 км</w:t>
            </w:r>
          </w:p>
        </w:tc>
      </w:tr>
      <w:tr>
        <w:trPr>
          <w:trHeight w:val="567"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Таманская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Тельмана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0,75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Толстого</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65</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Шевченко</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Гравий</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0,45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66</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Школьная</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 км</w:t>
            </w:r>
          </w:p>
        </w:tc>
      </w:tr>
      <w:tr>
        <w:trPr>
          <w:trHeight w:val="1" w:hRule="atLeast"/>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67</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Ф. Энгельса</w:t>
            </w:r>
          </w:p>
        </w:tc>
        <w:tc>
          <w:tcPr>
            <w:tcW w:w="12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1,3 км</w:t>
            </w:r>
          </w:p>
        </w:tc>
      </w:tr>
      <w:tr>
        <w:trPr>
          <w:trHeight w:val="1" w:hRule="atLeast"/>
          <w:jc w:val="left"/>
        </w:trPr>
        <w:tc>
          <w:tcPr>
            <w:tcW w:w="15449" w:type="dxa"/>
            <w:gridSpan w:val="8"/>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х. Карла Маркса</w:t>
            </w:r>
          </w:p>
        </w:tc>
      </w:tr>
      <w:tr>
        <w:trPr>
          <w:trHeight w:val="1118"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68</w:t>
            </w:r>
          </w:p>
        </w:tc>
        <w:tc>
          <w:tcPr>
            <w:tcW w:w="2268"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Белевцы</w:t>
            </w:r>
          </w:p>
        </w:tc>
        <w:tc>
          <w:tcPr>
            <w:tcW w:w="1276"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0,75</w:t>
            </w:r>
          </w:p>
        </w:tc>
        <w:tc>
          <w:tcPr>
            <w:tcW w:w="1417"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Грунт, гравий</w:t>
            </w:r>
          </w:p>
        </w:tc>
        <w:tc>
          <w:tcPr>
            <w:tcW w:w="2269"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2023-2027</w:t>
            </w:r>
          </w:p>
        </w:tc>
        <w:tc>
          <w:tcPr>
            <w:tcW w:w="3966" w:type="dxa"/>
            <w:tcBorders>
              <w:top w:val="single" w:color="00000a" w:sz="4"/>
              <w:left w:val="single" w:color="00000a" w:sz="6"/>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0,55 км</w:t>
            </w:r>
          </w:p>
          <w:p>
            <w:pPr>
              <w:suppressAutoHyphens w:val="true"/>
              <w:spacing w:before="0" w:after="0" w:line="240"/>
              <w:ind w:right="0" w:left="0" w:firstLine="0"/>
              <w:jc w:val="center"/>
              <w:rPr>
                <w:spacing w:val="0"/>
                <w:position w:val="0"/>
                <w:shd w:fill="auto" w:val="clear"/>
              </w:rPr>
            </w:pPr>
          </w:p>
        </w:tc>
      </w:tr>
      <w:tr>
        <w:trPr>
          <w:trHeight w:val="1147"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69</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Южная</w:t>
            </w:r>
          </w:p>
        </w:tc>
        <w:tc>
          <w:tcPr>
            <w:tcW w:w="1276"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c>
          <w:tcPr>
            <w:tcW w:w="1417"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Гравий, асфальт</w:t>
            </w:r>
          </w:p>
        </w:tc>
        <w:tc>
          <w:tcPr>
            <w:tcW w:w="2269"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6,5 км</w:t>
            </w:r>
          </w:p>
          <w:p>
            <w:pPr>
              <w:suppressAutoHyphens w:val="true"/>
              <w:spacing w:before="0" w:after="0" w:line="240"/>
              <w:ind w:right="0" w:left="0" w:firstLine="0"/>
              <w:jc w:val="center"/>
              <w:rPr>
                <w:spacing w:val="0"/>
                <w:position w:val="0"/>
                <w:shd w:fill="auto" w:val="clear"/>
              </w:rPr>
            </w:pPr>
          </w:p>
        </w:tc>
      </w:tr>
      <w:tr>
        <w:trPr>
          <w:trHeight w:val="430" w:hRule="auto"/>
          <w:jc w:val="left"/>
        </w:trPr>
        <w:tc>
          <w:tcPr>
            <w:tcW w:w="15449" w:type="dxa"/>
            <w:gridSpan w:val="8"/>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с. Примаки</w:t>
            </w:r>
          </w:p>
        </w:tc>
      </w:tr>
      <w:tr>
        <w:trPr>
          <w:trHeight w:val="565"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70</w:t>
            </w:r>
          </w:p>
        </w:tc>
        <w:tc>
          <w:tcPr>
            <w:tcW w:w="2268" w:type="dxa"/>
            <w:tcBorders>
              <w:top w:val="single" w:color="00000a" w:sz="4"/>
              <w:left w:val="single" w:color="00000a" w:sz="4"/>
              <w:bottom w:val="single" w:color="00000a" w:sz="4"/>
              <w:right w:val="single" w:color="00000a" w:sz="6"/>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Примаки</w:t>
            </w:r>
          </w:p>
        </w:tc>
        <w:tc>
          <w:tcPr>
            <w:tcW w:w="1276"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1417"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701"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Гравий</w:t>
            </w:r>
          </w:p>
        </w:tc>
        <w:tc>
          <w:tcPr>
            <w:tcW w:w="2269"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2018-2022</w:t>
            </w:r>
          </w:p>
        </w:tc>
        <w:tc>
          <w:tcPr>
            <w:tcW w:w="396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2,0 км</w:t>
            </w:r>
          </w:p>
          <w:p>
            <w:pPr>
              <w:suppressAutoHyphens w:val="true"/>
              <w:spacing w:before="0" w:after="0" w:line="240"/>
              <w:ind w:right="0" w:left="0" w:firstLine="0"/>
              <w:jc w:val="center"/>
              <w:rPr>
                <w:spacing w:val="0"/>
                <w:position w:val="0"/>
                <w:shd w:fill="auto" w:val="clear"/>
              </w:rPr>
            </w:pPr>
          </w:p>
        </w:tc>
      </w:tr>
      <w:tr>
        <w:trPr>
          <w:trHeight w:val="424" w:hRule="auto"/>
          <w:jc w:val="left"/>
        </w:trPr>
        <w:tc>
          <w:tcPr>
            <w:tcW w:w="15449" w:type="dxa"/>
            <w:gridSpan w:val="8"/>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х. Осечки</w:t>
            </w:r>
          </w:p>
        </w:tc>
      </w:tr>
      <w:tr>
        <w:trPr>
          <w:trHeight w:val="952" w:hRule="auto"/>
          <w:jc w:val="left"/>
        </w:trPr>
        <w:tc>
          <w:tcPr>
            <w:tcW w:w="709"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71</w:t>
            </w:r>
          </w:p>
        </w:tc>
        <w:tc>
          <w:tcPr>
            <w:tcW w:w="2268"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 Осечки</w:t>
            </w:r>
          </w:p>
        </w:tc>
        <w:tc>
          <w:tcPr>
            <w:tcW w:w="1276"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1417"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701"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3"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Гравий</w:t>
            </w:r>
          </w:p>
        </w:tc>
        <w:tc>
          <w:tcPr>
            <w:tcW w:w="2269"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2028-2032</w:t>
            </w:r>
          </w:p>
        </w:tc>
        <w:tc>
          <w:tcPr>
            <w:tcW w:w="3966" w:type="dxa"/>
            <w:tcBorders>
              <w:top w:val="single" w:color="00000a" w:sz="4"/>
              <w:left w:val="single" w:color="00000a" w:sz="6"/>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1,5 км</w:t>
            </w:r>
          </w:p>
        </w:tc>
      </w:tr>
    </w:tbl>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3.23 </w:t>
      </w:r>
      <w:r>
        <w:rPr>
          <w:rFonts w:ascii="Times New Roman" w:hAnsi="Times New Roman" w:cs="Times New Roman" w:eastAsia="Times New Roman"/>
          <w:b/>
          <w:color w:val="000000"/>
          <w:spacing w:val="0"/>
          <w:position w:val="0"/>
          <w:sz w:val="28"/>
          <w:shd w:fill="auto" w:val="clear"/>
        </w:rPr>
        <w:t xml:space="preserve">Расстановка работающих в автоматическом режиме средств фото- и видеофиксации нарушений правил дорожного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Решение о целесообразности мероприятий по установке средств фото- и видеофиксации принимается согласно исходных данных о наиболее вероятных местах нарушений правил дорожного движения и о результатах анализа причин и условий возникновения дорожно-транспортных происшествий (ДТП). Источниками этих данных являются органы местного самоуправления, а также натурные обследования УДС Новотитаровского сельского поселения.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безопасность дорожного движения. На данный момент средства фото- и видеофиксации нарушений правил дорожного движения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постановление об административном правонарушении выносится без участия лица совершившего нарушение, при этом должны соблюдаться правила составления постановления, которые предусмотрены статьей 29.10 КоАП РФ.</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Большая часть автомобилей Новотитаровского сельского поселения движется по ул. Ленина и по ул. Советская. Камеры фото и видео фиксации нарушений ПДД необходимо установить на  ул. Ленина и ул. Советская  с целью контроля нарушений скоростного режима. Так как в рамках настоящей КСОДД предлагается снизить скорость до 40 км/ч. из-за большого количества наземных пешеходных переходов.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на въезде в ст.Новотитаровскую со стороны ст.Динской;</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на пересечении ул. Крайняя и ул. Советская;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t xml:space="preserve">- </w:t>
      </w:r>
      <w:r>
        <w:rPr>
          <w:rFonts w:ascii="Times New Roman" w:hAnsi="Times New Roman" w:cs="Times New Roman" w:eastAsia="Times New Roman"/>
          <w:color w:val="000000"/>
          <w:spacing w:val="0"/>
          <w:position w:val="0"/>
          <w:sz w:val="28"/>
          <w:shd w:fill="auto" w:val="clear"/>
        </w:rPr>
        <w:t xml:space="preserve">на пересечении ул. Пролетарская и ул.Ленина.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Оборудование должно обеспечивать автоматическую фиксацию следующих нарушений ПДД:</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превышение скорости;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выезд на встречную полосу движения;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выезд на тротуар;</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выполнение поворота из второго ряда;</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 включенный ближний свет фар или дневные ходовые огни;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непредоставление преимущества пешеходам на пешеходных переходах.</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Выбор мест установки камер автоматической фиксации нарушений ПДД обусловлен в особенностями градостроительной компоновки. Основным аргументом размещения камер фиксации нарушений в выбранных точках явилась необходимость мотивировать водителей транспортных средств на соблюдение скоростного режима, что однозначно положительно скажется на безопасности дорожного движения в </w:t>
      </w:r>
      <w:r>
        <w:rPr>
          <w:rFonts w:ascii="Times New Roman" w:hAnsi="Times New Roman" w:cs="Times New Roman" w:eastAsia="Times New Roman"/>
          <w:color w:val="000000"/>
          <w:spacing w:val="0"/>
          <w:position w:val="0"/>
          <w:sz w:val="28"/>
          <w:shd w:fill="FFFFFF" w:val="clear"/>
        </w:rPr>
        <w:t xml:space="preserve">данном сельсовете</w:t>
      </w:r>
      <w:r>
        <w:rPr>
          <w:rFonts w:ascii="Times New Roman" w:hAnsi="Times New Roman" w:cs="Times New Roman" w:eastAsia="Times New Roman"/>
          <w:color w:val="000000"/>
          <w:spacing w:val="0"/>
          <w:position w:val="0"/>
          <w:sz w:val="28"/>
          <w:shd w:fill="auto" w:val="clear"/>
        </w:rPr>
        <w:t xml:space="preserve">.</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Мероприятия по установке средств видеофиксации могут быть запланированы на долгосрочный период выполнения (при необходимости откорректированы), для выполнения условий повышения численности населения и значительного увеличения транспортных потоков и пешеходной активности.</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8"/>
          <w:shd w:fill="auto" w:val="clear"/>
        </w:rPr>
        <w:t xml:space="preserve">3.24 </w:t>
      </w:r>
      <w:r>
        <w:rPr>
          <w:rFonts w:ascii="Times New Roman" w:hAnsi="Times New Roman" w:cs="Times New Roman" w:eastAsia="Times New Roman"/>
          <w:b/>
          <w:color w:val="000000"/>
          <w:spacing w:val="0"/>
          <w:position w:val="0"/>
          <w:sz w:val="28"/>
          <w:shd w:fill="auto" w:val="clear"/>
        </w:rPr>
        <w:t xml:space="preserve">Размещение специализированных стоянок для задержанных транспортных средств</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связи с тем, что эвакуация в Новотитаровском сельском поселении осуществляется сравнительно редко, необходимость в организации специализированной стоянки отсутствует.</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auto" w:val="clear"/>
        </w:rPr>
      </w:pPr>
    </w:p>
    <w:p>
      <w:pPr>
        <w:spacing w:before="0" w:after="15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4. </w:t>
      </w:r>
      <w:r>
        <w:rPr>
          <w:rFonts w:ascii="Times New Roman" w:hAnsi="Times New Roman" w:cs="Times New Roman" w:eastAsia="Times New Roman"/>
          <w:b/>
          <w:color w:val="auto"/>
          <w:spacing w:val="0"/>
          <w:position w:val="0"/>
          <w:sz w:val="28"/>
          <w:shd w:fill="auto" w:val="clear"/>
        </w:rPr>
        <w:t xml:space="preserve">ФОРМИРОВАНИЕ ПРОГРАММЫ МЕРОПРИЯТИЙ КСОДД С УКАЗАНИЕМ ОЧЕРЕДНОСТИ РЕАЛИЗАЦИИ, ОЧЕРЕДНОСТИ РАЗРАБОТКИ ПОДД НА ОТДЕЛЬНЫХ ТЕРРИТОРИЯХ, А ТАКЖЕ ОЦЕНКИ ТРЕБУЕМЫХ ОБЪЕМОВ ФИНАНСИРОВАНИЯ И ОЖИДАЕМОГО ЭФФЕКТА ОТ ВНЕДРЕНИЯ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Формирование Программы мероприятий по развитию транспортной системы и оптимизации схемы организации дорожного движения завершает, по существу, проектирование Комплексной схемы организации дорожного движения на территории муниципального образования Новотитаровского сельского поселения Динского района Краснодарского края.</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На этом этапе все предлагаемые мероприятия по организации дорожного движения, описанные в разделе 2 настоящей КСОДД, формируются в логически обоснованный комплекс наиболее эффективной комбинации  взаимоувязанных мер по развитию транспортной системы на территории муниципального образования. По каждому из мероприятий проведен укрупненный расчет их стоимости, оценка сроков реализации (исходя из ее возможности и востребованности).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Программа в дальнейшем может выступать в качестве самостоятельного инструмента повышения эффективности и безопасности дорожного движения на существующей УДС при среднесрочном и долгосрочном планировании.</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В ходе реализации КСОДД в последующие годы может возникнуть необходимость детальной проработки некоторых из входящих в Программу мер оптимизации организации дорожного движения. В таких случаях Приказ Минтранса РФ от 17.03.2015 № 43 предусматривает разработку проектов организации дорожного движения (ПОДД) без предварительной разработки КСОДД.</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color w:val="000000"/>
          <w:spacing w:val="0"/>
          <w:position w:val="0"/>
          <w:sz w:val="28"/>
          <w:shd w:fill="auto" w:val="clear"/>
        </w:rPr>
        <w:t xml:space="preserve">Указанная Программа мероприятий по развитию транспортной системы и оптимизации схемы организации дорожного движения на территории Новотитаровского сельского поселения приведена в таблице 8.</w:t>
      </w: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9 – Программа мероприятий по развитию транспортной системы и оптимизации схемы организации </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дорожного движения на территории Новотитаровского сельского поселения</w:t>
      </w:r>
    </w:p>
    <w:tbl>
      <w:tblPr>
        <w:tblInd w:w="741" w:type="dxa"/>
      </w:tblPr>
      <w:tblGrid>
        <w:gridCol w:w="6231"/>
        <w:gridCol w:w="4200"/>
        <w:gridCol w:w="707"/>
        <w:gridCol w:w="2500"/>
        <w:gridCol w:w="3544"/>
        <w:gridCol w:w="280"/>
      </w:tblGrid>
      <w:tr>
        <w:trPr>
          <w:trHeight w:val="1045" w:hRule="auto"/>
          <w:jc w:val="left"/>
        </w:trPr>
        <w:tc>
          <w:tcPr>
            <w:tcW w:w="6231" w:type="dxa"/>
            <w:vMerge w:val="restart"/>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Наименование мероприятия</w:t>
            </w:r>
          </w:p>
        </w:tc>
        <w:tc>
          <w:tcPr>
            <w:tcW w:w="4200"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Источники финансирования</w:t>
            </w:r>
          </w:p>
        </w:tc>
        <w:tc>
          <w:tcPr>
            <w:tcW w:w="6751" w:type="dxa"/>
            <w:gridSpan w:val="3"/>
            <w:tcBorders>
              <w:top w:val="single" w:color="00000a" w:sz="4"/>
              <w:left w:val="single" w:color="00000a" w:sz="4"/>
              <w:bottom w:val="single" w:color="000000" w:sz="0"/>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Тыс. рублей</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00"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Всего:</w:t>
            </w:r>
          </w:p>
        </w:tc>
        <w:tc>
          <w:tcPr>
            <w:tcW w:w="6751"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624 553,0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00"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Бюджет МО</w:t>
            </w:r>
          </w:p>
        </w:tc>
        <w:tc>
          <w:tcPr>
            <w:tcW w:w="6751"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135 971,0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00"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Районный бюджет</w:t>
            </w:r>
          </w:p>
        </w:tc>
        <w:tc>
          <w:tcPr>
            <w:tcW w:w="6751"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00"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Краевой бюджет</w:t>
            </w:r>
          </w:p>
        </w:tc>
        <w:tc>
          <w:tcPr>
            <w:tcW w:w="6751"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199 887,0 </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00"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Федеральный бюджет</w:t>
            </w:r>
          </w:p>
        </w:tc>
        <w:tc>
          <w:tcPr>
            <w:tcW w:w="6751"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288 695,0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00"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Внебюджетные источники</w:t>
            </w:r>
          </w:p>
        </w:tc>
        <w:tc>
          <w:tcPr>
            <w:tcW w:w="6751"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 </w:t>
            </w:r>
            <w:r>
              <w:rPr>
                <w:rFonts w:ascii="Times New Roman" w:hAnsi="Times New Roman" w:cs="Times New Roman" w:eastAsia="Times New Roman"/>
                <w:b/>
                <w:color w:val="000000"/>
                <w:spacing w:val="0"/>
                <w:position w:val="0"/>
                <w:sz w:val="24"/>
                <w:shd w:fill="auto" w:val="clear"/>
              </w:rPr>
              <w:t xml:space="preserve">Мероприятия по обеспечению транспортной и пешеходной связанности территорий</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 запланированы</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 </w:t>
            </w:r>
            <w:r>
              <w:rPr>
                <w:rFonts w:ascii="Times New Roman" w:hAnsi="Times New Roman" w:cs="Times New Roman" w:eastAsia="Times New Roman"/>
                <w:b/>
                <w:color w:val="000000"/>
                <w:spacing w:val="0"/>
                <w:position w:val="0"/>
                <w:sz w:val="24"/>
                <w:shd w:fill="auto" w:val="clear"/>
              </w:rPr>
              <w:t xml:space="preserve">Мероприятия по 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 запланированы</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 </w:t>
            </w:r>
            <w:r>
              <w:rPr>
                <w:rFonts w:ascii="Times New Roman" w:hAnsi="Times New Roman" w:cs="Times New Roman" w:eastAsia="Times New Roman"/>
                <w:b/>
                <w:color w:val="000000"/>
                <w:spacing w:val="0"/>
                <w:position w:val="0"/>
                <w:sz w:val="24"/>
                <w:shd w:fill="auto" w:val="clear"/>
              </w:rPr>
              <w:t xml:space="preserve">Мероприятия по совершенствованию системы информационного обеспечения участников дорожного движения</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 запланированы</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 </w:t>
            </w:r>
            <w:r>
              <w:rPr>
                <w:rFonts w:ascii="Times New Roman" w:hAnsi="Times New Roman" w:cs="Times New Roman" w:eastAsia="Times New Roman"/>
                <w:b/>
                <w:color w:val="000000"/>
                <w:spacing w:val="0"/>
                <w:position w:val="0"/>
                <w:sz w:val="24"/>
                <w:shd w:fill="auto" w:val="clear"/>
              </w:rPr>
              <w:t xml:space="preserve">Мероприятия по организации движения маршрутных транспортных средств, включая обеспечение приоритетных условий их движения (на дорогах местного значения)</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Установка дорожных знаков 5.16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Место остановки автобуса или троллейбуса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 остановках общественного транспорта </w:t>
            </w:r>
          </w:p>
        </w:tc>
        <w:tc>
          <w:tcPr>
            <w:tcW w:w="4907"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6044"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Установка остановочных павильонов </w:t>
            </w:r>
          </w:p>
        </w:tc>
        <w:tc>
          <w:tcPr>
            <w:tcW w:w="4907"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6044"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Организация посадочных площадок на остановках общественного транспорта </w:t>
            </w:r>
          </w:p>
        </w:tc>
        <w:tc>
          <w:tcPr>
            <w:tcW w:w="4907"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6044"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Организация освещения на остановках общественного транспорта</w:t>
            </w:r>
          </w:p>
        </w:tc>
        <w:tc>
          <w:tcPr>
            <w:tcW w:w="4907"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6044"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 </w:t>
            </w:r>
            <w:r>
              <w:rPr>
                <w:rFonts w:ascii="Times New Roman" w:hAnsi="Times New Roman" w:cs="Times New Roman" w:eastAsia="Times New Roman"/>
                <w:b/>
                <w:color w:val="000000"/>
                <w:spacing w:val="0"/>
                <w:position w:val="0"/>
                <w:sz w:val="24"/>
                <w:shd w:fill="auto" w:val="clear"/>
              </w:rPr>
              <w:t xml:space="preserve">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Установка дорожного знака 3.4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000000"/>
                <w:spacing w:val="0"/>
                <w:position w:val="0"/>
                <w:sz w:val="24"/>
                <w:shd w:fill="auto" w:val="clear"/>
              </w:rPr>
              <w:t xml:space="preserve">»</w:t>
            </w:r>
          </w:p>
        </w:tc>
        <w:tc>
          <w:tcPr>
            <w:tcW w:w="4907"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6044"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6. </w:t>
            </w:r>
            <w:r>
              <w:rPr>
                <w:rFonts w:ascii="Times New Roman" w:hAnsi="Times New Roman" w:cs="Times New Roman" w:eastAsia="Times New Roman"/>
                <w:b/>
                <w:color w:val="000000"/>
                <w:spacing w:val="0"/>
                <w:position w:val="0"/>
                <w:sz w:val="24"/>
                <w:shd w:fill="auto" w:val="clear"/>
              </w:rPr>
              <w:t xml:space="preserve">Мероприятия по скоростному режиму движения транспортных средств на отдельных участках дорог или в различных зонах</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20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Установка знаков </w:t>
            </w:r>
          </w:p>
        </w:tc>
        <w:tc>
          <w:tcPr>
            <w:tcW w:w="4907"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6044" w:type="dxa"/>
            <w:gridSpan w:val="2"/>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 </w:t>
            </w:r>
            <w:r>
              <w:rPr>
                <w:rFonts w:ascii="Times New Roman" w:hAnsi="Times New Roman" w:cs="Times New Roman" w:eastAsia="Times New Roman"/>
                <w:b/>
                <w:color w:val="000000"/>
                <w:spacing w:val="0"/>
                <w:position w:val="0"/>
                <w:sz w:val="24"/>
                <w:shd w:fill="auto" w:val="clear"/>
              </w:rPr>
              <w:t xml:space="preserve">Мероприятия по формированию единого парковочного пространства (размещение гаражей, стоянок, парковок (парковочных мест) и иных подобных сооружений)</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Организация парковочных мест для временного хранения транспортных средств</w:t>
            </w: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205,0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 </w:t>
            </w:r>
            <w:r>
              <w:rPr>
                <w:rFonts w:ascii="Times New Roman" w:hAnsi="Times New Roman" w:cs="Times New Roman" w:eastAsia="Times New Roman"/>
                <w:b/>
                <w:color w:val="000000"/>
                <w:spacing w:val="0"/>
                <w:position w:val="0"/>
                <w:sz w:val="24"/>
                <w:shd w:fill="auto" w:val="clear"/>
              </w:rPr>
              <w:t xml:space="preserve">Мероприятия по введению светофорного регулирования</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 запланированы</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605" w:hRule="auto"/>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 </w:t>
            </w:r>
            <w:r>
              <w:rPr>
                <w:rFonts w:ascii="Times New Roman" w:hAnsi="Times New Roman" w:cs="Times New Roman" w:eastAsia="Times New Roman"/>
                <w:b/>
                <w:color w:val="000000"/>
                <w:spacing w:val="0"/>
                <w:position w:val="0"/>
                <w:sz w:val="24"/>
                <w:shd w:fill="auto" w:val="clear"/>
              </w:rPr>
              <w:t xml:space="preserve">Мероприятия по устранению помех движению и факторов опасности (конфликтных ситуаций), создаваемых существующими дорожными условиями</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Установка светофоров Т.7 над нерегулируемыми пешеходными переходами </w:t>
            </w: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0" w:sz="0"/>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Установка средств принудительного снижения скорости (искусственные неровности) </w:t>
            </w:r>
          </w:p>
        </w:tc>
        <w:tc>
          <w:tcPr>
            <w:tcW w:w="7407" w:type="dxa"/>
            <w:gridSpan w:val="3"/>
            <w:tcBorders>
              <w:top w:val="single" w:color="000000" w:sz="0"/>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3544" w:type="dxa"/>
            <w:tcBorders>
              <w:top w:val="single" w:color="000000" w:sz="0"/>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 </w:t>
            </w:r>
            <w:r>
              <w:rPr>
                <w:rFonts w:ascii="Times New Roman" w:hAnsi="Times New Roman" w:cs="Times New Roman" w:eastAsia="Times New Roman"/>
                <w:b/>
                <w:color w:val="000000"/>
                <w:spacing w:val="0"/>
                <w:position w:val="0"/>
                <w:sz w:val="24"/>
                <w:shd w:fill="auto" w:val="clear"/>
              </w:rPr>
              <w:t xml:space="preserve">Мероприятия по 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val="restart"/>
            <w:tcBorders>
              <w:top w:val="single" w:color="000000" w:sz="0"/>
              <w:left w:val="single" w:color="00000a" w:sz="4"/>
              <w:bottom w:val="single" w:color="000000" w:sz="0"/>
              <w:right w:val="single" w:color="00000a" w:sz="4"/>
            </w:tcBorders>
            <w:shd w:color="auto" w:fill="auto" w:val="clear"/>
            <w:tcMar>
              <w:left w:w="10" w:type="dxa"/>
              <w:right w:w="10"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Организация движения пешеходов</w:t>
            </w: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13800,0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0" w:sz="0"/>
              <w:left w:val="single" w:color="00000a" w:sz="4"/>
              <w:bottom w:val="single" w:color="00000a" w:sz="4"/>
              <w:right w:val="single" w:color="00000a" w:sz="4"/>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407" w:type="dxa"/>
            <w:gridSpan w:val="3"/>
            <w:tcBorders>
              <w:top w:val="single" w:color="000000" w:sz="0"/>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Краевой бюджет</w:t>
            </w:r>
          </w:p>
        </w:tc>
        <w:tc>
          <w:tcPr>
            <w:tcW w:w="3544" w:type="dxa"/>
            <w:tcBorders>
              <w:top w:val="single" w:color="000000" w:sz="0"/>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13969,0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 </w:t>
            </w:r>
            <w:r>
              <w:rPr>
                <w:rFonts w:ascii="Times New Roman" w:hAnsi="Times New Roman" w:cs="Times New Roman" w:eastAsia="Times New Roman"/>
                <w:b/>
                <w:color w:val="000000"/>
                <w:spacing w:val="0"/>
                <w:position w:val="0"/>
                <w:sz w:val="24"/>
                <w:shd w:fill="auto" w:val="clear"/>
              </w:rPr>
              <w:t xml:space="preserve">Мероприятия по обеспечению благоприятных условий для движения инвалидов</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Обустройство тротуаров тактильной плиткой</w:t>
            </w: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12. </w:t>
            </w:r>
            <w:r>
              <w:rPr>
                <w:rFonts w:ascii="Times New Roman" w:hAnsi="Times New Roman" w:cs="Times New Roman" w:eastAsia="Times New Roman"/>
                <w:b/>
                <w:color w:val="000000"/>
                <w:spacing w:val="0"/>
                <w:position w:val="0"/>
                <w:sz w:val="24"/>
                <w:shd w:fill="auto" w:val="clear"/>
              </w:rPr>
              <w:t xml:space="preserve">Мероприятия по организации велосипедного движения</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08" w:hRule="auto"/>
          <w:jc w:val="left"/>
        </w:trPr>
        <w:tc>
          <w:tcPr>
            <w:tcW w:w="6231" w:type="dxa"/>
            <w:vMerge w:val="restart"/>
            <w:tcBorders>
              <w:top w:val="single" w:color="00000a" w:sz="4"/>
              <w:left w:val="single" w:color="00000a" w:sz="4"/>
              <w:bottom w:val="single" w:color="000000" w:sz="0"/>
              <w:right w:val="single" w:color="00000a" w:sz="4"/>
            </w:tcBorders>
            <w:shd w:color="auto" w:fill="auto" w:val="clear"/>
            <w:tcMar>
              <w:left w:w="10" w:type="dxa"/>
              <w:right w:w="10"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Устройство совмещенной вело-пешеходной дорожки</w:t>
            </w: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5185,0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99" w:hRule="auto"/>
          <w:jc w:val="left"/>
        </w:trPr>
        <w:tc>
          <w:tcPr>
            <w:tcW w:w="6231" w:type="dxa"/>
            <w:vMerge/>
            <w:tcBorders>
              <w:top w:val="single" w:color="000000" w:sz="0"/>
              <w:left w:val="single" w:color="00000a" w:sz="4"/>
              <w:bottom w:val="single" w:color="00000a" w:sz="4"/>
              <w:right w:val="single" w:color="00000a" w:sz="4"/>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Краевой бюджет</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12101,0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13. </w:t>
            </w:r>
            <w:r>
              <w:rPr>
                <w:rFonts w:ascii="Times New Roman" w:hAnsi="Times New Roman" w:cs="Times New Roman" w:eastAsia="Times New Roman"/>
                <w:b/>
                <w:color w:val="000000"/>
                <w:spacing w:val="0"/>
                <w:position w:val="0"/>
                <w:sz w:val="24"/>
                <w:shd w:fill="auto" w:val="clear"/>
              </w:rPr>
              <w:t xml:space="preserve">Мероприятия по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val="restart"/>
            <w:tcBorders>
              <w:top w:val="single" w:color="00000a" w:sz="4"/>
              <w:left w:val="single" w:color="00000a" w:sz="4"/>
              <w:bottom w:val="single" w:color="000000" w:sz="0"/>
              <w:right w:val="single" w:color="00000a" w:sz="4"/>
            </w:tcBorders>
            <w:shd w:color="auto" w:fill="auto" w:val="clear"/>
            <w:tcMar>
              <w:left w:w="10" w:type="dxa"/>
              <w:right w:w="10"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Реконструкция существующих дорог</w:t>
            </w: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Бюджет МО</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115478,0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0" w:sz="0"/>
              <w:left w:val="single" w:color="00000a" w:sz="4"/>
              <w:bottom w:val="single" w:color="000000" w:sz="0"/>
              <w:right w:val="single" w:color="00000a" w:sz="4"/>
            </w:tcBorders>
            <w:shd w:color="auto" w:fill="auto" w:val="clear"/>
            <w:tcMar>
              <w:left w:w="10" w:type="dxa"/>
              <w:right w:w="1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Краевой бюджет</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173217,0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vMerge/>
            <w:tcBorders>
              <w:top w:val="single" w:color="000000" w:sz="0"/>
              <w:left w:val="single" w:color="00000a" w:sz="4"/>
              <w:bottom w:val="single" w:color="00000a" w:sz="4"/>
              <w:right w:val="single" w:color="00000a" w:sz="4"/>
            </w:tcBorders>
            <w:shd w:color="auto" w:fill="auto" w:val="clear"/>
            <w:tcMar>
              <w:left w:w="10" w:type="dxa"/>
              <w:right w:w="1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Федеральный бюджет</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288695,0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182" w:type="dxa"/>
            <w:gridSpan w:val="5"/>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14. </w:t>
            </w:r>
            <w:r>
              <w:rPr>
                <w:rFonts w:ascii="Times New Roman" w:hAnsi="Times New Roman" w:cs="Times New Roman" w:eastAsia="Times New Roman"/>
                <w:b/>
                <w:color w:val="000000"/>
                <w:spacing w:val="0"/>
                <w:position w:val="0"/>
                <w:sz w:val="24"/>
                <w:shd w:fill="auto" w:val="clear"/>
              </w:rPr>
              <w:t xml:space="preserve">Мероприятия по расстановке работающих в автоматическом режиме средств фото- и видеофиксации нарушений правил дорожного движения</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231" w:type="dxa"/>
            <w:tcBorders>
              <w:top w:val="single" w:color="00000a" w:sz="4"/>
              <w:left w:val="single" w:color="00000a" w:sz="4"/>
              <w:bottom w:val="single" w:color="00000a" w:sz="4"/>
              <w:right w:val="single" w:color="00000a" w:sz="4"/>
            </w:tcBorders>
            <w:shd w:color="auto" w:fill="auto" w:val="clear"/>
            <w:tcMar>
              <w:left w:w="10" w:type="dxa"/>
              <w:right w:w="10" w:type="dxa"/>
            </w:tcMar>
            <w:vAlign w:val="top"/>
          </w:tcPr>
          <w:p>
            <w:pPr>
              <w:suppressAutoHyphens w:val="true"/>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8"/>
                <w:shd w:fill="FFFFFF" w:val="clear"/>
              </w:rPr>
              <w:t xml:space="preserve">У</w:t>
            </w:r>
            <w:r>
              <w:rPr>
                <w:rFonts w:ascii="Times New Roman" w:hAnsi="Times New Roman" w:cs="Times New Roman" w:eastAsia="Times New Roman"/>
                <w:color w:val="000000"/>
                <w:spacing w:val="0"/>
                <w:position w:val="0"/>
                <w:sz w:val="24"/>
                <w:shd w:fill="FFFFFF" w:val="clear"/>
              </w:rPr>
              <w:t xml:space="preserve">становка камер  фото и видео фиксации нарушений ПДД </w:t>
            </w:r>
          </w:p>
        </w:tc>
        <w:tc>
          <w:tcPr>
            <w:tcW w:w="7407" w:type="dxa"/>
            <w:gridSpan w:val="3"/>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Краевой бюджет</w:t>
            </w:r>
          </w:p>
        </w:tc>
        <w:tc>
          <w:tcPr>
            <w:tcW w:w="3544" w:type="dxa"/>
            <w:tcBorders>
              <w:top w:val="single" w:color="00000a" w:sz="4"/>
              <w:left w:val="single" w:color="00000a" w:sz="4"/>
              <w:bottom w:val="single" w:color="00000a" w:sz="4"/>
              <w:right w:val="single" w:color="00000a" w:sz="4"/>
            </w:tcBorders>
            <w:shd w:color="auto" w:fill="auto" w:val="clear"/>
            <w:tcMar>
              <w:left w:w="10" w:type="dxa"/>
              <w:right w:w="10"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c>
          <w:tcPr>
            <w:tcW w:w="280" w:type="dxa"/>
            <w:tcBorders>
              <w:top w:val="single" w:color="000000" w:sz="0"/>
              <w:left w:val="single" w:color="000000" w:sz="0"/>
              <w:bottom w:val="single" w:color="000000" w:sz="0"/>
              <w:right w:val="single" w:color="000000" w:sz="0"/>
            </w:tcBorders>
            <w:shd w:color="auto" w:fill="auto" w:val="clear"/>
            <w:tcMar>
              <w:left w:w="10" w:type="dxa"/>
              <w:right w:w="1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keepNext w:val="true"/>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соответствии с описанными выше предложенными решениями сформированы мероприятия по улично- дорожной сети Новотитаровского сельского поселения представленные в таблицах 10 – 16.</w:t>
      </w:r>
    </w:p>
    <w:p>
      <w:pPr>
        <w:keepNext w:val="true"/>
        <w:suppressAutoHyphens w:val="true"/>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Таблица 10 - Оценка объемов финансирования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pPr>
        <w:spacing w:before="0" w:after="200" w:line="276"/>
        <w:ind w:right="0" w:left="0" w:firstLine="0"/>
        <w:jc w:val="center"/>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center"/>
        <w:rPr>
          <w:rFonts w:ascii="Calibri" w:hAnsi="Calibri" w:cs="Calibri" w:eastAsia="Calibri"/>
          <w:color w:val="auto"/>
          <w:spacing w:val="0"/>
          <w:position w:val="0"/>
          <w:sz w:val="22"/>
          <w:shd w:fill="auto" w:val="clear"/>
        </w:rPr>
      </w:pPr>
    </w:p>
    <w:tbl>
      <w:tblPr>
        <w:tblInd w:w="366" w:type="dxa"/>
      </w:tblPr>
      <w:tblGrid>
        <w:gridCol w:w="960"/>
        <w:gridCol w:w="3825"/>
        <w:gridCol w:w="5677"/>
        <w:gridCol w:w="2552"/>
        <w:gridCol w:w="2268"/>
      </w:tblGrid>
      <w:tr>
        <w:trPr>
          <w:trHeight w:val="1" w:hRule="atLeast"/>
          <w:jc w:val="left"/>
        </w:trPr>
        <w:tc>
          <w:tcPr>
            <w:tcW w:w="960" w:type="dxa"/>
            <w:tcBorders>
              <w:top w:val="single" w:color="000001" w:sz="2"/>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3825" w:type="dxa"/>
            <w:tcBorders>
              <w:top w:val="single" w:color="000001" w:sz="2"/>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Адрес</w:t>
            </w:r>
          </w:p>
        </w:tc>
        <w:tc>
          <w:tcPr>
            <w:tcW w:w="5677" w:type="dxa"/>
            <w:tcBorders>
              <w:top w:val="single" w:color="000001" w:sz="2"/>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Мероприятия</w:t>
            </w:r>
          </w:p>
        </w:tc>
        <w:tc>
          <w:tcPr>
            <w:tcW w:w="2552" w:type="dxa"/>
            <w:tcBorders>
              <w:top w:val="single" w:color="000001" w:sz="2"/>
              <w:left w:val="single" w:color="000001" w:sz="2"/>
              <w:bottom w:val="single" w:color="000001" w:sz="2"/>
              <w:right w:val="single" w:color="000000" w:sz="0"/>
            </w:tcBorders>
            <w:shd w:color="auto" w:fill="auto" w:val="clear"/>
            <w:tcMar>
              <w:left w:w="54" w:type="dxa"/>
              <w:right w:w="54"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Годы реализации</w:t>
            </w:r>
          </w:p>
        </w:tc>
        <w:tc>
          <w:tcPr>
            <w:tcW w:w="2268" w:type="dxa"/>
            <w:tcBorders>
              <w:top w:val="single" w:color="000001" w:sz="2"/>
              <w:left w:val="single" w:color="000001" w:sz="2"/>
              <w:bottom w:val="single" w:color="000001" w:sz="2"/>
              <w:right w:val="single" w:color="000001" w:sz="2"/>
            </w:tcBorders>
            <w:shd w:color="auto" w:fill="auto" w:val="clear"/>
            <w:tcMar>
              <w:left w:w="54" w:type="dxa"/>
              <w:right w:w="54"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Ориентировочная стоимость, тыс.руб.</w:t>
            </w:r>
          </w:p>
        </w:tc>
      </w:tr>
      <w:tr>
        <w:trPr>
          <w:trHeight w:val="1" w:hRule="atLeast"/>
          <w:jc w:val="left"/>
        </w:trPr>
        <w:tc>
          <w:tcPr>
            <w:tcW w:w="960"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825"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Школьная на пересечении с ул. Привокзальная</w:t>
            </w:r>
          </w:p>
        </w:tc>
        <w:tc>
          <w:tcPr>
            <w:tcW w:w="5677"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 </w:t>
            </w:r>
          </w:p>
        </w:tc>
        <w:tc>
          <w:tcPr>
            <w:tcW w:w="2552"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0" w:sz="0"/>
              <w:left w:val="single" w:color="000001" w:sz="2"/>
              <w:bottom w:val="single" w:color="000001" w:sz="2"/>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3825"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Привокзальная на пересечении с ул. Луначарского</w:t>
            </w:r>
          </w:p>
        </w:tc>
        <w:tc>
          <w:tcPr>
            <w:tcW w:w="5677"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0" w:sz="0"/>
              <w:left w:val="single" w:color="000001" w:sz="2"/>
              <w:bottom w:val="single" w:color="000001" w:sz="2"/>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3825"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 на пересечении с ул. Школьная</w:t>
            </w:r>
          </w:p>
        </w:tc>
        <w:tc>
          <w:tcPr>
            <w:tcW w:w="5677"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 </w:t>
            </w:r>
          </w:p>
        </w:tc>
        <w:tc>
          <w:tcPr>
            <w:tcW w:w="2552" w:type="dxa"/>
            <w:tcBorders>
              <w:top w:val="single" w:color="000000" w:sz="0"/>
              <w:left w:val="single" w:color="000001" w:sz="2"/>
              <w:bottom w:val="single" w:color="000001" w:sz="2"/>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0" w:sz="0"/>
              <w:left w:val="single" w:color="000001" w:sz="2"/>
              <w:bottom w:val="single" w:color="000001" w:sz="2"/>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2"/>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3825" w:type="dxa"/>
            <w:tcBorders>
              <w:top w:val="single" w:color="000001" w:sz="2"/>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Привокзальная в районе дома №79</w:t>
            </w:r>
          </w:p>
        </w:tc>
        <w:tc>
          <w:tcPr>
            <w:tcW w:w="5677" w:type="dxa"/>
            <w:tcBorders>
              <w:top w:val="single" w:color="000001" w:sz="2"/>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2"/>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2"/>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Свободная на пересечении с ул. Октябрьская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Свободная на пересечении с ул. Степная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 на пересечении с ул. Свободная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 на пересечении с ул. Привокзальная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Южный на пересечении с ул. Привокзальная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Прямой на пересечении с ул. Свободная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Прямой на пересечении с ул. Привокзальная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 на пересечении с ул. Степная с двух сторон</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 на пересечении с ул. Октябрьская с двух сторон</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 на пересечении с ул. Ленина</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Школьная на пересечении с ул. Восточная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 в районе дома №141</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Советская на пересечении с ул. Ленина</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Калинина на пересечении с ул. Степная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 на пересечении с ул. Леваневского</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 12 </w:t>
            </w:r>
            <w:r>
              <w:rPr>
                <w:rFonts w:ascii="Times New Roman" w:hAnsi="Times New Roman" w:cs="Times New Roman" w:eastAsia="Times New Roman"/>
                <w:color w:val="auto"/>
                <w:spacing w:val="0"/>
                <w:position w:val="0"/>
                <w:sz w:val="24"/>
                <w:shd w:fill="auto" w:val="clear"/>
              </w:rPr>
              <w:t xml:space="preserve">тонн</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 на пересечении с ул. Гоголя</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дорожного знака 3.4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Движение грузового транспорта запрещено</w:t>
            </w:r>
            <w:r>
              <w:rPr>
                <w:rFonts w:ascii="Times New Roman" w:hAnsi="Times New Roman" w:cs="Times New Roman" w:eastAsia="Times New Roman"/>
                <w:color w:val="auto"/>
                <w:spacing w:val="0"/>
                <w:position w:val="0"/>
                <w:sz w:val="24"/>
                <w:shd w:fill="auto" w:val="clear"/>
              </w:rPr>
              <w:t xml:space="preserve">» 8 </w:t>
            </w:r>
            <w:r>
              <w:rPr>
                <w:rFonts w:ascii="Times New Roman" w:hAnsi="Times New Roman" w:cs="Times New Roman" w:eastAsia="Times New Roman"/>
                <w:color w:val="auto"/>
                <w:spacing w:val="0"/>
                <w:position w:val="0"/>
                <w:sz w:val="24"/>
                <w:shd w:fill="auto" w:val="clear"/>
              </w:rPr>
              <w:t xml:space="preserve">тонн</w:t>
            </w: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w:t>
            </w:r>
          </w:p>
        </w:tc>
      </w:tr>
      <w:tr>
        <w:trPr>
          <w:trHeight w:val="1" w:hRule="atLeast"/>
          <w:jc w:val="left"/>
        </w:trPr>
        <w:tc>
          <w:tcPr>
            <w:tcW w:w="960" w:type="dxa"/>
            <w:tcBorders>
              <w:top w:val="single" w:color="000001" w:sz="6"/>
              <w:left w:val="single" w:color="000001" w:sz="2"/>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3825" w:type="dxa"/>
            <w:tcBorders>
              <w:top w:val="single" w:color="000001" w:sz="6"/>
              <w:left w:val="single" w:color="000001" w:sz="6"/>
              <w:bottom w:val="single" w:color="000001" w:sz="6"/>
              <w:right w:val="single" w:color="000001" w:sz="6"/>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Итого:</w:t>
            </w:r>
          </w:p>
        </w:tc>
        <w:tc>
          <w:tcPr>
            <w:tcW w:w="5677"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2" w:type="dxa"/>
            <w:tcBorders>
              <w:top w:val="single" w:color="000001" w:sz="6"/>
              <w:left w:val="single" w:color="000001" w:sz="6"/>
              <w:bottom w:val="single" w:color="000001" w:sz="6"/>
              <w:right w:val="single" w:color="000000" w:sz="0"/>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2268" w:type="dxa"/>
            <w:tcBorders>
              <w:top w:val="single" w:color="000001" w:sz="6"/>
              <w:left w:val="single" w:color="000001" w:sz="6"/>
              <w:bottom w:val="single" w:color="000001" w:sz="6"/>
              <w:right w:val="single" w:color="000001" w:sz="2"/>
            </w:tcBorders>
            <w:shd w:color="auto" w:fill="auto" w:val="clear"/>
            <w:tcMar>
              <w:left w:w="54" w:type="dxa"/>
              <w:right w:w="54" w:type="dxa"/>
            </w:tcMar>
            <w:vAlign w:val="center"/>
          </w:tcPr>
          <w:p>
            <w:pPr>
              <w:suppressLineNumbers w:val="true"/>
              <w:suppressAutoHyphens w:val="true"/>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550,0</w:t>
            </w:r>
          </w:p>
        </w:tc>
      </w:tr>
    </w:tbl>
    <w:p>
      <w:pPr>
        <w:spacing w:before="0" w:after="200" w:line="276"/>
        <w:ind w:right="0" w:left="0" w:firstLine="0"/>
        <w:jc w:val="center"/>
        <w:rPr>
          <w:rFonts w:ascii="Calibri" w:hAnsi="Calibri" w:cs="Calibri" w:eastAsia="Calibri"/>
          <w:color w:val="auto"/>
          <w:spacing w:val="0"/>
          <w:position w:val="0"/>
          <w:sz w:val="22"/>
          <w:shd w:fill="auto" w:val="clear"/>
        </w:rPr>
      </w:pP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Таблица 11 - Оценка объемов финансирования  по формированию единого парковочного пространства (размещение гаражей, стоянок, парковок (парковочных мест) и иных подобных сооружений)</w:t>
      </w:r>
    </w:p>
    <w:tbl>
      <w:tblPr>
        <w:tblInd w:w="484" w:type="dxa"/>
      </w:tblPr>
      <w:tblGrid>
        <w:gridCol w:w="900"/>
        <w:gridCol w:w="3810"/>
        <w:gridCol w:w="5692"/>
        <w:gridCol w:w="2552"/>
        <w:gridCol w:w="2268"/>
      </w:tblGrid>
      <w:tr>
        <w:trPr>
          <w:trHeight w:val="1" w:hRule="atLeast"/>
          <w:jc w:val="left"/>
        </w:trPr>
        <w:tc>
          <w:tcPr>
            <w:tcW w:w="90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381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Адрес</w:t>
            </w:r>
          </w:p>
        </w:tc>
        <w:tc>
          <w:tcPr>
            <w:tcW w:w="569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Мероприятия</w:t>
            </w: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Годы реализации</w:t>
            </w: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Ориентировочная стоимость, тыс.руб.</w:t>
            </w:r>
          </w:p>
        </w:tc>
      </w:tr>
      <w:tr>
        <w:trPr>
          <w:trHeight w:val="1" w:hRule="atLeast"/>
          <w:jc w:val="left"/>
        </w:trPr>
        <w:tc>
          <w:tcPr>
            <w:tcW w:w="90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81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Район школы искусств по ул. Советская </w:t>
            </w:r>
          </w:p>
        </w:tc>
        <w:tc>
          <w:tcPr>
            <w:tcW w:w="569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Строительство парковки на 13 машино-мест</w:t>
            </w: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2020</w:t>
            </w: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65,0</w:t>
            </w:r>
          </w:p>
        </w:tc>
      </w:tr>
      <w:tr>
        <w:trPr>
          <w:trHeight w:val="1" w:hRule="atLeast"/>
          <w:jc w:val="left"/>
        </w:trPr>
        <w:tc>
          <w:tcPr>
            <w:tcW w:w="90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381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 Почтовая район Поликлиники №1</w:t>
            </w:r>
          </w:p>
        </w:tc>
        <w:tc>
          <w:tcPr>
            <w:tcW w:w="569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Строительство парковки на 20 машино-мест</w:t>
            </w: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2022</w:t>
            </w: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100,0</w:t>
            </w:r>
          </w:p>
        </w:tc>
      </w:tr>
      <w:tr>
        <w:trPr>
          <w:trHeight w:val="1" w:hRule="atLeast"/>
          <w:jc w:val="left"/>
        </w:trPr>
        <w:tc>
          <w:tcPr>
            <w:tcW w:w="900" w:type="dxa"/>
            <w:tcBorders>
              <w:top w:val="single" w:color="000000" w:sz="0"/>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3810" w:type="dxa"/>
            <w:tcBorders>
              <w:top w:val="single" w:color="000000" w:sz="0"/>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 Советская район Д/С №11</w:t>
            </w:r>
          </w:p>
        </w:tc>
        <w:tc>
          <w:tcPr>
            <w:tcW w:w="5692" w:type="dxa"/>
            <w:tcBorders>
              <w:top w:val="single" w:color="000000" w:sz="0"/>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Приведение парковки в нормативный вид на 10 машино-мест</w:t>
            </w:r>
          </w:p>
        </w:tc>
        <w:tc>
          <w:tcPr>
            <w:tcW w:w="2552" w:type="dxa"/>
            <w:tcBorders>
              <w:top w:val="single" w:color="000000" w:sz="0"/>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0" w:sz="0"/>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40,0</w:t>
            </w:r>
          </w:p>
        </w:tc>
      </w:tr>
      <w:tr>
        <w:trPr>
          <w:trHeight w:val="1" w:hRule="atLeast"/>
          <w:jc w:val="left"/>
        </w:trPr>
        <w:tc>
          <w:tcPr>
            <w:tcW w:w="90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381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Итого:</w:t>
            </w:r>
          </w:p>
        </w:tc>
        <w:tc>
          <w:tcPr>
            <w:tcW w:w="569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205,0</w:t>
            </w:r>
          </w:p>
        </w:tc>
      </w:tr>
    </w:tbl>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12 - Оценка объемов финансирования  по устранению помех движению и факторов опасности (конфликтных ситуаций), создаваемых существующими дорожными условиями</w:t>
      </w:r>
    </w:p>
    <w:tbl>
      <w:tblPr>
        <w:tblInd w:w="539" w:type="dxa"/>
      </w:tblPr>
      <w:tblGrid>
        <w:gridCol w:w="851"/>
        <w:gridCol w:w="3795"/>
        <w:gridCol w:w="5701"/>
        <w:gridCol w:w="2552"/>
        <w:gridCol w:w="2268"/>
      </w:tblGrid>
      <w:tr>
        <w:trPr>
          <w:trHeight w:val="1" w:hRule="atLeast"/>
          <w:jc w:val="left"/>
        </w:trPr>
        <w:tc>
          <w:tcPr>
            <w:tcW w:w="8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379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Адрес</w:t>
            </w:r>
          </w:p>
        </w:tc>
        <w:tc>
          <w:tcPr>
            <w:tcW w:w="5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Мероприятия</w:t>
            </w: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Годы реализации</w:t>
            </w: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Ориентировочная стоимость, тыс.руб.</w:t>
            </w:r>
          </w:p>
        </w:tc>
      </w:tr>
      <w:tr>
        <w:trPr>
          <w:trHeight w:val="1" w:hRule="atLeast"/>
          <w:jc w:val="left"/>
        </w:trPr>
        <w:tc>
          <w:tcPr>
            <w:tcW w:w="8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79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708"/>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 Луначарского в районе Школы №1</w:t>
            </w:r>
          </w:p>
        </w:tc>
        <w:tc>
          <w:tcPr>
            <w:tcW w:w="5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Установка светофора Т7</w:t>
            </w: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2018</w:t>
            </w: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100,0</w:t>
            </w:r>
          </w:p>
        </w:tc>
      </w:tr>
      <w:tr>
        <w:trPr>
          <w:trHeight w:val="1" w:hRule="atLeast"/>
          <w:jc w:val="left"/>
        </w:trPr>
        <w:tc>
          <w:tcPr>
            <w:tcW w:w="8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379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708"/>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 Широкая в районе детского сада №61</w:t>
            </w:r>
          </w:p>
        </w:tc>
        <w:tc>
          <w:tcPr>
            <w:tcW w:w="5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Установка светофора Т7</w:t>
            </w: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2018</w:t>
            </w: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100,0</w:t>
            </w:r>
          </w:p>
        </w:tc>
      </w:tr>
      <w:tr>
        <w:trPr>
          <w:trHeight w:val="1" w:hRule="atLeast"/>
          <w:jc w:val="left"/>
        </w:trPr>
        <w:tc>
          <w:tcPr>
            <w:tcW w:w="8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379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708"/>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 Советская в районе детского сада №11</w:t>
            </w:r>
          </w:p>
        </w:tc>
        <w:tc>
          <w:tcPr>
            <w:tcW w:w="5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Установка  искусственных неровностей</w:t>
            </w: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2018</w:t>
            </w: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40,0</w:t>
            </w:r>
          </w:p>
        </w:tc>
      </w:tr>
      <w:tr>
        <w:trPr>
          <w:trHeight w:val="1" w:hRule="atLeast"/>
          <w:jc w:val="left"/>
        </w:trPr>
        <w:tc>
          <w:tcPr>
            <w:tcW w:w="85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379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Итого:</w:t>
            </w:r>
          </w:p>
        </w:tc>
        <w:tc>
          <w:tcPr>
            <w:tcW w:w="5701"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55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268"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240,0</w:t>
            </w:r>
          </w:p>
        </w:tc>
      </w:tr>
    </w:tbl>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13 - Оценка объемов финансирования  по организации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tbl>
      <w:tblPr>
        <w:tblInd w:w="269" w:type="dxa"/>
      </w:tblPr>
      <w:tblGrid>
        <w:gridCol w:w="675"/>
        <w:gridCol w:w="2992"/>
        <w:gridCol w:w="2976"/>
        <w:gridCol w:w="2694"/>
        <w:gridCol w:w="1984"/>
        <w:gridCol w:w="1701"/>
        <w:gridCol w:w="2268"/>
      </w:tblGrid>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Улица</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Мероприятие</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Протяженность</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Ширина</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Годы реализации</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Ориентировочная стоимость, тыс.руб.</w:t>
            </w:r>
          </w:p>
        </w:tc>
      </w:tr>
      <w:tr>
        <w:trPr>
          <w:trHeight w:val="340" w:hRule="auto"/>
          <w:jc w:val="left"/>
        </w:trPr>
        <w:tc>
          <w:tcPr>
            <w:tcW w:w="15290" w:type="dxa"/>
            <w:gridSpan w:val="7"/>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ст. Новотитаровская</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ул.Восточная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1130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2026</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1370,0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ул.Советская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строительство</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2020</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160,0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Ул.Заречная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2031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968,0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ул.Калинина</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968,0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ул.Коммунаров</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2021</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1452,0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ул.Крайняя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4350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5264,0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ул.Красноармейская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630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2032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763,0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ул.Краснодарская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484,0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ул.Леваневского</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484,0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ул.Ленина</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4340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5251,0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ул.Октябрьская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1860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2023</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2251,0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ул.Почтовая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2024</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242,0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ул.Продольная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1080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1310,0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ул.Сельская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2025</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1400,0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ул.Тельмана</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910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2026</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1100,0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ул.Ф.Энгельса</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2030</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1222,0</w:t>
            </w:r>
          </w:p>
        </w:tc>
      </w:tr>
      <w:tr>
        <w:trPr>
          <w:trHeight w:val="340" w:hRule="auto"/>
          <w:jc w:val="left"/>
        </w:trPr>
        <w:tc>
          <w:tcPr>
            <w:tcW w:w="15290" w:type="dxa"/>
            <w:gridSpan w:val="7"/>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х. Карла Маркса</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ул.Южная</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реконструкция</w:t>
            </w: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1800</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2180,0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знаков 5.19.1 " Пешеходный переход"</w:t>
            </w: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 </w:t>
            </w:r>
            <w:r>
              <w:rPr>
                <w:rFonts w:ascii="Times New Roman" w:hAnsi="Times New Roman" w:cs="Times New Roman" w:eastAsia="Times New Roman"/>
                <w:color w:val="auto"/>
                <w:spacing w:val="0"/>
                <w:position w:val="0"/>
                <w:sz w:val="24"/>
                <w:shd w:fill="auto" w:val="clear"/>
              </w:rPr>
              <w:t xml:space="preserve">ед</w:t>
            </w: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2019-2032</w:t>
            </w: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900,0</w:t>
            </w:r>
          </w:p>
        </w:tc>
      </w:tr>
      <w:tr>
        <w:trPr>
          <w:trHeight w:val="340" w:hRule="auto"/>
          <w:jc w:val="left"/>
        </w:trPr>
        <w:tc>
          <w:tcPr>
            <w:tcW w:w="6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992"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976"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6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268"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r>
      <w:tr>
        <w:trPr>
          <w:trHeight w:val="340" w:hRule="auto"/>
          <w:jc w:val="left"/>
        </w:trPr>
        <w:tc>
          <w:tcPr>
            <w:tcW w:w="675" w:type="dxa"/>
            <w:tcBorders>
              <w:top w:val="single" w:color="000000" w:sz="0"/>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992" w:type="dxa"/>
            <w:tcBorders>
              <w:top w:val="single" w:color="000000" w:sz="0"/>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Итого:</w:t>
            </w:r>
          </w:p>
        </w:tc>
        <w:tc>
          <w:tcPr>
            <w:tcW w:w="2976" w:type="dxa"/>
            <w:tcBorders>
              <w:top w:val="single" w:color="000000" w:sz="0"/>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694" w:type="dxa"/>
            <w:tcBorders>
              <w:top w:val="single" w:color="000000" w:sz="0"/>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1984" w:type="dxa"/>
            <w:tcBorders>
              <w:top w:val="single" w:color="000000" w:sz="0"/>
              <w:left w:val="single" w:color="00000a" w:sz="4"/>
              <w:bottom w:val="single" w:color="00000a" w:sz="4"/>
              <w:right w:val="single" w:color="000000" w:sz="0"/>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1701" w:type="dxa"/>
            <w:tcBorders>
              <w:top w:val="single" w:color="000000" w:sz="0"/>
              <w:left w:val="single" w:color="00000a" w:sz="4"/>
              <w:bottom w:val="single" w:color="00000a" w:sz="4"/>
              <w:right w:val="single" w:color="000000" w:sz="0"/>
            </w:tcBorders>
            <w:shd w:color="auto" w:fill="auto"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2268" w:type="dxa"/>
            <w:tcBorders>
              <w:top w:val="single" w:color="000000" w:sz="0"/>
              <w:left w:val="single" w:color="00000a" w:sz="4"/>
              <w:bottom w:val="single" w:color="00000a" w:sz="4"/>
              <w:right w:val="single" w:color="00000a" w:sz="4"/>
            </w:tcBorders>
            <w:shd w:color="auto" w:fill="auto" w:val="clear"/>
            <w:tcMar>
              <w:left w:w="108" w:type="dxa"/>
              <w:right w:w="108" w:type="dxa"/>
            </w:tcMar>
            <w:vAlign w:val="top"/>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27769,0</w:t>
            </w:r>
          </w:p>
        </w:tc>
      </w:tr>
    </w:tbl>
    <w:p>
      <w:pPr>
        <w:spacing w:before="0" w:after="0" w:line="276"/>
        <w:ind w:right="0" w:left="0" w:firstLine="0"/>
        <w:jc w:val="center"/>
        <w:rPr>
          <w:rFonts w:ascii="Times New Roman" w:hAnsi="Times New Roman" w:cs="Times New Roman" w:eastAsia="Times New Roman"/>
          <w:color w:val="auto"/>
          <w:spacing w:val="0"/>
          <w:position w:val="0"/>
          <w:sz w:val="28"/>
          <w:shd w:fill="auto" w:val="clear"/>
        </w:rPr>
      </w:pPr>
    </w:p>
    <w:p>
      <w:pPr>
        <w:suppressAutoHyphens w:val="true"/>
        <w:spacing w:before="0" w:after="20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13 - Оценка объемов финансирования  по обеспечению благоприятных условий для движения инвалидов</w:t>
      </w:r>
    </w:p>
    <w:tbl>
      <w:tblPr>
        <w:tblInd w:w="250" w:type="dxa"/>
      </w:tblPr>
      <w:tblGrid>
        <w:gridCol w:w="735"/>
        <w:gridCol w:w="3285"/>
        <w:gridCol w:w="2730"/>
        <w:gridCol w:w="4170"/>
        <w:gridCol w:w="4394"/>
      </w:tblGrid>
      <w:tr>
        <w:trPr>
          <w:trHeight w:val="1" w:hRule="atLeast"/>
          <w:jc w:val="left"/>
        </w:trPr>
        <w:tc>
          <w:tcPr>
            <w:tcW w:w="73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328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Адрес</w:t>
            </w:r>
          </w:p>
        </w:tc>
        <w:tc>
          <w:tcPr>
            <w:tcW w:w="273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Мероприятия</w:t>
            </w:r>
          </w:p>
        </w:tc>
        <w:tc>
          <w:tcPr>
            <w:tcW w:w="417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Годы реализации</w:t>
            </w:r>
          </w:p>
        </w:tc>
        <w:tc>
          <w:tcPr>
            <w:tcW w:w="4394"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Ориентировочная стоимость, тыс.руб.</w:t>
            </w:r>
          </w:p>
        </w:tc>
      </w:tr>
      <w:tr>
        <w:trPr>
          <w:trHeight w:val="1" w:hRule="atLeast"/>
          <w:jc w:val="left"/>
        </w:trPr>
        <w:tc>
          <w:tcPr>
            <w:tcW w:w="73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28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20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 Советская в районе Администрации сп</w:t>
            </w:r>
          </w:p>
        </w:tc>
        <w:tc>
          <w:tcPr>
            <w:tcW w:w="273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Обустройство тактильной плиткой </w:t>
            </w:r>
          </w:p>
        </w:tc>
        <w:tc>
          <w:tcPr>
            <w:tcW w:w="417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2019</w:t>
            </w:r>
          </w:p>
        </w:tc>
        <w:tc>
          <w:tcPr>
            <w:tcW w:w="4394"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120,0</w:t>
            </w:r>
          </w:p>
        </w:tc>
      </w:tr>
      <w:tr>
        <w:trPr>
          <w:trHeight w:val="1" w:hRule="atLeast"/>
          <w:jc w:val="left"/>
        </w:trPr>
        <w:tc>
          <w:tcPr>
            <w:tcW w:w="73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328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Итого:</w:t>
            </w:r>
          </w:p>
        </w:tc>
        <w:tc>
          <w:tcPr>
            <w:tcW w:w="273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417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p>
        </w:tc>
        <w:tc>
          <w:tcPr>
            <w:tcW w:w="4394"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120,0</w:t>
            </w:r>
          </w:p>
        </w:tc>
      </w:tr>
    </w:tbl>
    <w:p>
      <w:pPr>
        <w:keepNext w:val="true"/>
        <w:suppressAutoHyphens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p>
    <w:p>
      <w:pPr>
        <w:suppressAutoHyphens w:val="true"/>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shd w:fill="auto" w:val="clear"/>
        </w:rPr>
        <w:t xml:space="preserve">Таблица 14 – Мероприятия по организации велосипедного движения на улично-дорожной сети Новотитаровского сельского поселения</w:t>
      </w:r>
    </w:p>
    <w:tbl>
      <w:tblPr>
        <w:tblInd w:w="284" w:type="dxa"/>
      </w:tblPr>
      <w:tblGrid>
        <w:gridCol w:w="795"/>
        <w:gridCol w:w="2430"/>
        <w:gridCol w:w="4425"/>
        <w:gridCol w:w="1650"/>
        <w:gridCol w:w="5975"/>
      </w:tblGrid>
      <w:tr>
        <w:trPr>
          <w:trHeight w:val="837" w:hRule="auto"/>
          <w:jc w:val="left"/>
          <w:cantSplit w:val="1"/>
        </w:trPr>
        <w:tc>
          <w:tcPr>
            <w:tcW w:w="79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2430"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Наименование велосипедной дорожки</w:t>
            </w:r>
          </w:p>
        </w:tc>
        <w:tc>
          <w:tcPr>
            <w:tcW w:w="442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Мероприятия</w:t>
            </w:r>
          </w:p>
        </w:tc>
        <w:tc>
          <w:tcPr>
            <w:tcW w:w="1650"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Годы реализации</w:t>
            </w:r>
          </w:p>
        </w:tc>
        <w:tc>
          <w:tcPr>
            <w:tcW w:w="59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Ориентировочная стоимость, тыс.руб.</w:t>
            </w:r>
          </w:p>
        </w:tc>
      </w:tr>
      <w:tr>
        <w:trPr>
          <w:trHeight w:val="1" w:hRule="atLeast"/>
          <w:jc w:val="left"/>
        </w:trPr>
        <w:tc>
          <w:tcPr>
            <w:tcW w:w="79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430"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ул. Тельмана</w:t>
            </w:r>
          </w:p>
          <w:p>
            <w:pPr>
              <w:suppressAutoHyphens w:val="true"/>
              <w:spacing w:before="0" w:after="20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ул. Выгонная</w:t>
            </w:r>
          </w:p>
          <w:p>
            <w:pPr>
              <w:suppressAutoHyphens w:val="true"/>
              <w:spacing w:before="0" w:after="20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 Широкая</w:t>
            </w:r>
          </w:p>
        </w:tc>
        <w:tc>
          <w:tcPr>
            <w:tcW w:w="442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1. </w:t>
            </w:r>
            <w:r>
              <w:rPr>
                <w:rFonts w:ascii="Times New Roman" w:hAnsi="Times New Roman" w:cs="Times New Roman" w:eastAsia="Times New Roman"/>
                <w:color w:val="000000"/>
                <w:spacing w:val="0"/>
                <w:position w:val="0"/>
                <w:sz w:val="24"/>
                <w:shd w:fill="FFFFFF" w:val="clear"/>
              </w:rPr>
              <w:t xml:space="preserve">Строительство </w:t>
            </w:r>
            <w:r>
              <w:rPr>
                <w:rFonts w:ascii="Times New Roman" w:hAnsi="Times New Roman" w:cs="Times New Roman" w:eastAsia="Times New Roman"/>
                <w:color w:val="000000"/>
                <w:spacing w:val="0"/>
                <w:position w:val="0"/>
                <w:sz w:val="22"/>
                <w:shd w:fill="FFFFFF" w:val="clear"/>
              </w:rPr>
              <w:t xml:space="preserve">велодорожки совмещенной с пешеходной дорожкой</w:t>
            </w:r>
            <w:r>
              <w:rPr>
                <w:rFonts w:ascii="Times New Roman" w:hAnsi="Times New Roman" w:cs="Times New Roman" w:eastAsia="Times New Roman"/>
                <w:color w:val="000000"/>
                <w:spacing w:val="0"/>
                <w:position w:val="0"/>
                <w:sz w:val="24"/>
                <w:shd w:fill="FFFFFF" w:val="clear"/>
              </w:rPr>
              <w:t xml:space="preserve"> площадью 6900 м</w:t>
            </w:r>
            <w:r>
              <w:rPr>
                <w:rFonts w:ascii="Times New Roman" w:hAnsi="Times New Roman" w:cs="Times New Roman" w:eastAsia="Times New Roman"/>
                <w:color w:val="000000"/>
                <w:spacing w:val="0"/>
                <w:position w:val="0"/>
                <w:sz w:val="24"/>
                <w:shd w:fill="FFFFFF" w:val="clear"/>
                <w:vertAlign w:val="superscript"/>
              </w:rPr>
              <w:t xml:space="preserve">2</w:t>
            </w:r>
          </w:p>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Длина 2300 м)</w:t>
            </w:r>
          </w:p>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Устройство разметки.</w:t>
            </w:r>
          </w:p>
          <w:p>
            <w:pPr>
              <w:numPr>
                <w:ilvl w:val="0"/>
                <w:numId w:val="1906"/>
              </w:numPr>
              <w:tabs>
                <w:tab w:val="left" w:pos="0" w:leader="none"/>
              </w:tabs>
              <w:suppressAutoHyphens w:val="true"/>
              <w:spacing w:before="0" w:after="0" w:line="240"/>
              <w:ind w:right="0" w:left="720" w:hanging="360"/>
              <w:jc w:val="center"/>
              <w:rPr>
                <w:spacing w:val="0"/>
                <w:position w:val="0"/>
              </w:rPr>
            </w:pPr>
            <w:r>
              <w:rPr>
                <w:rFonts w:ascii="Times New Roman" w:hAnsi="Times New Roman" w:cs="Times New Roman" w:eastAsia="Times New Roman"/>
                <w:color w:val="000000"/>
                <w:spacing w:val="0"/>
                <w:position w:val="0"/>
                <w:sz w:val="24"/>
                <w:shd w:fill="auto" w:val="clear"/>
              </w:rPr>
              <w:t xml:space="preserve">Установка знаков 4.5.2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Совмещенная велодорожка</w:t>
            </w:r>
            <w:r>
              <w:rPr>
                <w:rFonts w:ascii="Times New Roman" w:hAnsi="Times New Roman" w:cs="Times New Roman" w:eastAsia="Times New Roman"/>
                <w:color w:val="000000"/>
                <w:spacing w:val="0"/>
                <w:position w:val="0"/>
                <w:sz w:val="24"/>
                <w:shd w:fill="auto" w:val="clear"/>
              </w:rPr>
              <w:t xml:space="preserve">»      </w:t>
            </w:r>
          </w:p>
        </w:tc>
        <w:tc>
          <w:tcPr>
            <w:tcW w:w="1650"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2030</w:t>
            </w:r>
          </w:p>
        </w:tc>
        <w:tc>
          <w:tcPr>
            <w:tcW w:w="59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17286,0</w:t>
            </w:r>
          </w:p>
        </w:tc>
      </w:tr>
      <w:tr>
        <w:trPr>
          <w:trHeight w:val="618" w:hRule="auto"/>
          <w:jc w:val="left"/>
        </w:trPr>
        <w:tc>
          <w:tcPr>
            <w:tcW w:w="79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40"/>
              <w:ind w:right="0" w:left="0" w:firstLine="0"/>
              <w:jc w:val="center"/>
              <w:rPr>
                <w:rFonts w:ascii="Calibri" w:hAnsi="Calibri" w:cs="Calibri" w:eastAsia="Calibri"/>
                <w:color w:val="auto"/>
                <w:spacing w:val="0"/>
                <w:position w:val="0"/>
                <w:sz w:val="22"/>
                <w:shd w:fill="auto" w:val="clear"/>
              </w:rPr>
            </w:pPr>
          </w:p>
        </w:tc>
        <w:tc>
          <w:tcPr>
            <w:tcW w:w="2430"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Итого:</w:t>
            </w:r>
          </w:p>
        </w:tc>
        <w:tc>
          <w:tcPr>
            <w:tcW w:w="442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1650"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rFonts w:ascii="Calibri" w:hAnsi="Calibri" w:cs="Calibri" w:eastAsia="Calibri"/>
                <w:color w:val="auto"/>
                <w:spacing w:val="0"/>
                <w:position w:val="0"/>
                <w:sz w:val="22"/>
                <w:shd w:fill="auto" w:val="clear"/>
              </w:rPr>
            </w:pPr>
          </w:p>
        </w:tc>
        <w:tc>
          <w:tcPr>
            <w:tcW w:w="5975"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17286,0</w:t>
            </w:r>
          </w:p>
        </w:tc>
      </w:tr>
    </w:tbl>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p>
    <w:p>
      <w:pPr>
        <w:pageBreakBefore w:val="true"/>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15 – Оценка объемов финансирования мероприятий по развитию сети дорог Новотитаровского сельского поселения</w:t>
      </w: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p>
    <w:tbl>
      <w:tblPr>
        <w:tblInd w:w="348" w:type="dxa"/>
      </w:tblPr>
      <w:tblGrid>
        <w:gridCol w:w="524"/>
        <w:gridCol w:w="2794"/>
        <w:gridCol w:w="2604"/>
        <w:gridCol w:w="4616"/>
        <w:gridCol w:w="4673"/>
      </w:tblGrid>
      <w:tr>
        <w:trPr>
          <w:trHeight w:val="1142"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w:t>
            </w: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Наименование автомобильной дороги</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Периоды реализации</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Мероприятия</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Ориентировочная стоимость, тыс.руб.</w:t>
            </w:r>
          </w:p>
        </w:tc>
      </w:tr>
      <w:tr>
        <w:trPr>
          <w:trHeight w:val="1" w:hRule="atLeast"/>
          <w:jc w:val="left"/>
        </w:trPr>
        <w:tc>
          <w:tcPr>
            <w:tcW w:w="15211" w:type="dxa"/>
            <w:gridSpan w:val="5"/>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ст. Новотитаровская</w:t>
            </w:r>
          </w:p>
        </w:tc>
      </w:tr>
      <w:tr>
        <w:trPr>
          <w:trHeight w:val="1" w:hRule="atLeast"/>
          <w:jc w:val="left"/>
        </w:trPr>
        <w:tc>
          <w:tcPr>
            <w:tcW w:w="524" w:type="dxa"/>
            <w:tcBorders>
              <w:top w:val="single" w:color="000000" w:sz="0"/>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0" w:sz="0"/>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8 Марта</w:t>
            </w:r>
          </w:p>
        </w:tc>
        <w:tc>
          <w:tcPr>
            <w:tcW w:w="2604" w:type="dxa"/>
            <w:tcBorders>
              <w:top w:val="single" w:color="000000" w:sz="0"/>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w:t>
            </w:r>
          </w:p>
        </w:tc>
        <w:tc>
          <w:tcPr>
            <w:tcW w:w="4616" w:type="dxa"/>
            <w:tcBorders>
              <w:top w:val="single" w:color="000000" w:sz="0"/>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1,6 км</w:t>
            </w:r>
          </w:p>
        </w:tc>
        <w:tc>
          <w:tcPr>
            <w:tcW w:w="4673" w:type="dxa"/>
            <w:tcBorders>
              <w:top w:val="single" w:color="000000" w:sz="0"/>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Броварца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2022</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0,7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Восточная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2030</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1,8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13060,0</w:t>
            </w:r>
          </w:p>
        </w:tc>
      </w:tr>
      <w:tr>
        <w:trPr>
          <w:trHeight w:val="1070"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Выгонная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2026</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5,3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38500,0</w:t>
            </w:r>
          </w:p>
        </w:tc>
      </w:tr>
      <w:tr>
        <w:trPr>
          <w:trHeight w:val="1201"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Гоголя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2022</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Гражданкина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0,45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1350,0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Дзержинского</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2026</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1,0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7200,0</w:t>
            </w:r>
          </w:p>
        </w:tc>
      </w:tr>
      <w:tr>
        <w:trPr>
          <w:trHeight w:val="1364"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Ейское Шоссе</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2022</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0,8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Заречная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2029-2031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5,0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36000,0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Интернациональная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2024</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Казачья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2024</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Калинина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1,2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8700,0</w:t>
            </w:r>
          </w:p>
        </w:tc>
      </w:tr>
      <w:tr>
        <w:trPr>
          <w:trHeight w:val="710"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Кирова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2025</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1,8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Кислицина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2025</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0,3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Коммунаров</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2023-2024</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3,5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25200,0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Королева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2026</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r>
      <w:tr>
        <w:trPr>
          <w:trHeight w:val="629"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Крайняя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2025</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1,3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9500,0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Красноармейская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2027</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1,85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13320,0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Краснодарская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2,2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15900,0</w:t>
            </w:r>
          </w:p>
        </w:tc>
      </w:tr>
      <w:tr>
        <w:trPr>
          <w:trHeight w:val="952"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Крупской</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2026</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1,4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4200,0</w:t>
            </w:r>
          </w:p>
        </w:tc>
      </w:tr>
      <w:tr>
        <w:trPr>
          <w:trHeight w:val="424"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Кубанская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2026</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0,3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Кузнечная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2027</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1,1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Кутузова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2027</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0,9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2700,0</w:t>
            </w:r>
          </w:p>
        </w:tc>
      </w:tr>
      <w:tr>
        <w:trPr>
          <w:trHeight w:val="1321"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Леваневского</w:t>
            </w:r>
          </w:p>
        </w:tc>
        <w:tc>
          <w:tcPr>
            <w:tcW w:w="2604"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2024-2025</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2,0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14500,0</w:t>
            </w:r>
          </w:p>
        </w:tc>
      </w:tr>
      <w:tr>
        <w:trPr>
          <w:trHeight w:val="1260"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Ленина</w:t>
            </w:r>
          </w:p>
        </w:tc>
        <w:tc>
          <w:tcPr>
            <w:tcW w:w="2604"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2027</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0,93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Лермонтова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2029</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Капитальный ремонт покрытия проезжей части автомобильной дороги протяженностью 0,46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1400,0</w:t>
            </w:r>
          </w:p>
        </w:tc>
      </w:tr>
      <w:tr>
        <w:trPr>
          <w:trHeight w:val="538"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Ломоносова</w:t>
            </w:r>
          </w:p>
        </w:tc>
        <w:tc>
          <w:tcPr>
            <w:tcW w:w="2604"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2027</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0,7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2100,0</w:t>
            </w:r>
          </w:p>
        </w:tc>
      </w:tr>
      <w:tr>
        <w:trPr>
          <w:trHeight w:val="822"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Луговая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2027</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0,4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Луначарского</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2023-2025</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7,15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51500,0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Мира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2026</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2900,0</w:t>
            </w:r>
          </w:p>
        </w:tc>
      </w:tr>
      <w:tr>
        <w:trPr>
          <w:trHeight w:val="1054"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Невского</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3240,0</w:t>
            </w:r>
          </w:p>
        </w:tc>
      </w:tr>
      <w:tr>
        <w:trPr>
          <w:trHeight w:val="1199"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Октябрьская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2028-2029</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Капитальный ремонт покрытия проезжей части автомобильной дороги протяженностью 4,9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35300,0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Геологов</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0,1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300,0</w:t>
            </w:r>
          </w:p>
        </w:tc>
      </w:tr>
      <w:tr>
        <w:trPr>
          <w:trHeight w:val="1118"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Кислицина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0,07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210,0</w:t>
            </w:r>
          </w:p>
        </w:tc>
      </w:tr>
      <w:tr>
        <w:trPr>
          <w:trHeight w:val="1264"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Коккинаки</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0,3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20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Кочубея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2029</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0,11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20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Кутузова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2029</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0,25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750,0</w:t>
            </w:r>
          </w:p>
        </w:tc>
      </w:tr>
      <w:tr>
        <w:trPr>
          <w:trHeight w:val="972" w:hRule="auto"/>
          <w:jc w:val="left"/>
        </w:trPr>
        <w:tc>
          <w:tcPr>
            <w:tcW w:w="52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Ленина</w:t>
            </w:r>
          </w:p>
        </w:tc>
        <w:tc>
          <w:tcPr>
            <w:tcW w:w="2604" w:type="dxa"/>
            <w:tcBorders>
              <w:top w:val="single" w:color="00000a" w:sz="4"/>
              <w:left w:val="single" w:color="00000a" w:sz="4"/>
              <w:bottom w:val="single" w:color="000000" w:sz="0"/>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2029</w:t>
            </w:r>
          </w:p>
        </w:tc>
        <w:tc>
          <w:tcPr>
            <w:tcW w:w="4616" w:type="dxa"/>
            <w:tcBorders>
              <w:top w:val="single" w:color="00000a" w:sz="4"/>
              <w:left w:val="single" w:color="00000a" w:sz="4"/>
              <w:bottom w:val="single" w:color="000000" w:sz="0"/>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0" w:sz="0"/>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2100,0</w:t>
            </w:r>
          </w:p>
        </w:tc>
      </w:tr>
      <w:tr>
        <w:trPr>
          <w:trHeight w:val="1184"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Малый</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2030</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0,2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Мира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2030</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0,15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Молодежный</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2032</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Новотитаровский</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2900,0</w:t>
            </w:r>
          </w:p>
        </w:tc>
      </w:tr>
      <w:tr>
        <w:trPr>
          <w:trHeight w:val="1147"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Прямой</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2030</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0,25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750,0</w:t>
            </w:r>
          </w:p>
        </w:tc>
      </w:tr>
      <w:tr>
        <w:trPr>
          <w:trHeight w:val="1134"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Светлый</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2029</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0,1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720,0</w:t>
            </w:r>
          </w:p>
        </w:tc>
      </w:tr>
      <w:tr>
        <w:trPr>
          <w:trHeight w:val="1123"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 Трудовой</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0,25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Первомайская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1,1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Подгорная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0,7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Почтовая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2027</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1,9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13700,0</w:t>
            </w:r>
          </w:p>
        </w:tc>
      </w:tr>
      <w:tr>
        <w:trPr>
          <w:trHeight w:val="952"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Привокзальная</w:t>
            </w:r>
          </w:p>
        </w:tc>
        <w:tc>
          <w:tcPr>
            <w:tcW w:w="2604" w:type="dxa"/>
            <w:tcBorders>
              <w:top w:val="single" w:color="00000a" w:sz="4"/>
              <w:left w:val="single" w:color="00000a" w:sz="6"/>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Капитальный ремонт покрытия проезжей части автомобильной дороги протяженностью 1,8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13000,0</w:t>
            </w:r>
          </w:p>
        </w:tc>
      </w:tr>
      <w:tr>
        <w:trPr>
          <w:trHeight w:val="717"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6"/>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Прогонная</w:t>
            </w:r>
          </w:p>
        </w:tc>
        <w:tc>
          <w:tcPr>
            <w:tcW w:w="2604" w:type="dxa"/>
            <w:tcBorders>
              <w:top w:val="single" w:color="00000a" w:sz="4"/>
              <w:left w:val="single" w:color="00000a" w:sz="6"/>
              <w:bottom w:val="single" w:color="00000a" w:sz="4"/>
              <w:right w:val="single" w:color="00000a" w:sz="6"/>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2032</w:t>
            </w:r>
          </w:p>
        </w:tc>
        <w:tc>
          <w:tcPr>
            <w:tcW w:w="4616" w:type="dxa"/>
            <w:tcBorders>
              <w:top w:val="single" w:color="00000a" w:sz="4"/>
              <w:left w:val="single" w:color="00000a" w:sz="6"/>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1,6 км</w:t>
            </w:r>
          </w:p>
        </w:tc>
        <w:tc>
          <w:tcPr>
            <w:tcW w:w="4673" w:type="dxa"/>
            <w:tcBorders>
              <w:top w:val="single" w:color="00000a" w:sz="4"/>
              <w:left w:val="single" w:color="00000a" w:sz="6"/>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4800,0</w:t>
            </w:r>
          </w:p>
        </w:tc>
      </w:tr>
      <w:tr>
        <w:trPr>
          <w:trHeight w:val="977"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Продольная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2019-2020</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1,7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12300,0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Пролетарская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2032</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1,1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3300,0</w:t>
            </w:r>
          </w:p>
        </w:tc>
      </w:tr>
      <w:tr>
        <w:trPr>
          <w:trHeight w:val="952"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Революционная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2032</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2,1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6300,0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Розы Люксембург</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2026</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10800,0</w:t>
            </w:r>
          </w:p>
        </w:tc>
      </w:tr>
      <w:tr>
        <w:trPr>
          <w:trHeight w:val="1077"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Российская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2027</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1500,0</w:t>
            </w:r>
          </w:p>
        </w:tc>
      </w:tr>
      <w:tr>
        <w:trPr>
          <w:trHeight w:val="952" w:hRule="auto"/>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0" w:sz="0"/>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Свободная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2030</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Капитальный ремонт покрытия проезжей части автомобильной дороги протяженностью 0,7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5040,0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Сельская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2025</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3,0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21600,0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Советская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2022</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2,1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15120,0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Солидарности</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2029</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0,7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Солнечная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2028</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Степная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4,95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35700,0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Таманская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2024</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Тельмана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2030</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0,75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Толстого</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0,6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Шевченко</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0,45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1350,0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Школьная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2024</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0,4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Ф. Энгельса</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1,3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9400,0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Итого:</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518440,0</w:t>
            </w:r>
          </w:p>
        </w:tc>
      </w:tr>
      <w:tr>
        <w:trPr>
          <w:trHeight w:val="1" w:hRule="atLeast"/>
          <w:jc w:val="left"/>
        </w:trPr>
        <w:tc>
          <w:tcPr>
            <w:tcW w:w="15211" w:type="dxa"/>
            <w:gridSpan w:val="5"/>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х. Карла Маркса</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Белевцы</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2024</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0,55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1650,0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Южная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2019-2021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6,5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46800,0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Северная</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2019-2021</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Ремонт покрытия проезжей части автомобильной дороги протяженностью 1,5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7100,0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Итого:</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55550,0</w:t>
            </w:r>
          </w:p>
        </w:tc>
      </w:tr>
      <w:tr>
        <w:trPr>
          <w:trHeight w:val="1" w:hRule="atLeast"/>
          <w:jc w:val="left"/>
        </w:trPr>
        <w:tc>
          <w:tcPr>
            <w:tcW w:w="15211" w:type="dxa"/>
            <w:gridSpan w:val="5"/>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с. Примаки</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Примаки</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2023</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top"/>
          </w:tcPr>
          <w:p>
            <w:pPr>
              <w:suppressAutoHyphens w:val="true"/>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2,0 км</w:t>
            </w:r>
          </w:p>
          <w:p>
            <w:pPr>
              <w:suppressAutoHyphens w:val="true"/>
              <w:spacing w:before="0" w:after="0" w:line="240"/>
              <w:ind w:right="0" w:left="0" w:firstLine="0"/>
              <w:jc w:val="center"/>
              <w:rPr>
                <w:spacing w:val="0"/>
                <w:position w:val="0"/>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6000,0</w:t>
            </w:r>
          </w:p>
        </w:tc>
      </w:tr>
      <w:tr>
        <w:trPr>
          <w:trHeight w:val="1" w:hRule="atLeast"/>
          <w:jc w:val="left"/>
        </w:trPr>
        <w:tc>
          <w:tcPr>
            <w:tcW w:w="15211" w:type="dxa"/>
            <w:gridSpan w:val="5"/>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i/>
                <w:color w:val="000000"/>
                <w:spacing w:val="0"/>
                <w:position w:val="0"/>
                <w:sz w:val="24"/>
                <w:shd w:fill="auto" w:val="clear"/>
              </w:rPr>
              <w:t xml:space="preserve">х. Осечки</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 Осечки</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2020</w:t>
            </w: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Подсыпка гравием  протяженностью 1,5 км</w:t>
            </w: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4500,0</w:t>
            </w:r>
          </w:p>
        </w:tc>
      </w:tr>
      <w:tr>
        <w:trPr>
          <w:trHeight w:val="1" w:hRule="atLeast"/>
          <w:jc w:val="left"/>
        </w:trPr>
        <w:tc>
          <w:tcPr>
            <w:tcW w:w="52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2794"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Всего:</w:t>
            </w:r>
          </w:p>
        </w:tc>
        <w:tc>
          <w:tcPr>
            <w:tcW w:w="2604"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76"/>
              <w:ind w:right="0" w:left="0" w:firstLine="0"/>
              <w:jc w:val="center"/>
              <w:rPr>
                <w:rFonts w:ascii="Calibri" w:hAnsi="Calibri" w:cs="Calibri" w:eastAsia="Calibri"/>
                <w:color w:val="auto"/>
                <w:spacing w:val="0"/>
                <w:position w:val="0"/>
                <w:sz w:val="22"/>
                <w:shd w:fill="auto" w:val="clear"/>
              </w:rPr>
            </w:pPr>
          </w:p>
        </w:tc>
        <w:tc>
          <w:tcPr>
            <w:tcW w:w="4616" w:type="dxa"/>
            <w:tcBorders>
              <w:top w:val="single" w:color="00000a" w:sz="4"/>
              <w:left w:val="single" w:color="00000a" w:sz="4"/>
              <w:bottom w:val="single" w:color="00000a" w:sz="4"/>
              <w:right w:val="single" w:color="000000" w:sz="0"/>
            </w:tcBorders>
            <w:shd w:color="auto" w:fill="auto" w:val="clear"/>
            <w:tcMar>
              <w:left w:w="108" w:type="dxa"/>
              <w:right w:w="108" w:type="dxa"/>
            </w:tcMar>
            <w:vAlign w:val="center"/>
          </w:tcPr>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tc>
        <w:tc>
          <w:tcPr>
            <w:tcW w:w="4673" w:type="dxa"/>
            <w:tcBorders>
              <w:top w:val="single" w:color="00000a" w:sz="4"/>
              <w:left w:val="single" w:color="00000a" w:sz="4"/>
              <w:bottom w:val="single" w:color="00000a" w:sz="4"/>
              <w:right w:val="single" w:color="00000a" w:sz="4"/>
            </w:tcBorders>
            <w:shd w:color="auto" w:fill="auto" w:val="clear"/>
            <w:tcMar>
              <w:left w:w="108" w:type="dxa"/>
              <w:right w:w="108" w:type="dxa"/>
            </w:tcMar>
            <w:vAlign w:val="center"/>
          </w:tcPr>
          <w:p>
            <w:pPr>
              <w:suppressAutoHyphens w:val="true"/>
              <w:spacing w:before="0" w:after="0" w:line="276"/>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584490,0</w:t>
            </w:r>
          </w:p>
        </w:tc>
      </w:tr>
    </w:tbl>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uppressAutoHyphens w:val="true"/>
        <w:spacing w:before="0" w:after="0" w:line="276"/>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Таблица 16 - Оценка объемов финансирования  по расстановке работающих в автоматическом режиме средств фото- и видеофиксации нарушений правил дорожного движения</w:t>
      </w:r>
    </w:p>
    <w:tbl>
      <w:tblPr>
        <w:tblInd w:w="250" w:type="dxa"/>
      </w:tblPr>
      <w:tblGrid>
        <w:gridCol w:w="572"/>
        <w:gridCol w:w="2597"/>
        <w:gridCol w:w="2775"/>
        <w:gridCol w:w="1650"/>
        <w:gridCol w:w="1819"/>
      </w:tblGrid>
      <w:tr>
        <w:trPr>
          <w:trHeight w:val="304" w:hRule="auto"/>
          <w:jc w:val="left"/>
        </w:trPr>
        <w:tc>
          <w:tcPr>
            <w:tcW w:w="57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2597"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Адрес</w:t>
            </w:r>
          </w:p>
        </w:tc>
        <w:tc>
          <w:tcPr>
            <w:tcW w:w="277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Мероприятия</w:t>
            </w:r>
          </w:p>
        </w:tc>
        <w:tc>
          <w:tcPr>
            <w:tcW w:w="165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Годы реализации</w:t>
            </w:r>
          </w:p>
        </w:tc>
        <w:tc>
          <w:tcPr>
            <w:tcW w:w="1819"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Ориентировочная стоимость, тыс.руб.</w:t>
            </w:r>
          </w:p>
        </w:tc>
      </w:tr>
      <w:tr>
        <w:trPr>
          <w:trHeight w:val="1" w:hRule="atLeast"/>
          <w:jc w:val="left"/>
        </w:trPr>
        <w:tc>
          <w:tcPr>
            <w:tcW w:w="57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597" w:type="dxa"/>
            <w:tcBorders>
              <w:top w:val="single" w:color="00000a" w:sz="4"/>
              <w:left w:val="single" w:color="00000a" w:sz="4"/>
              <w:bottom w:val="single" w:color="00000a" w:sz="4"/>
              <w:right w:val="single" w:color="00000a" w:sz="4"/>
            </w:tcBorders>
            <w:shd w:color="auto" w:fill="auto" w:val="clear"/>
            <w:tcMar>
              <w:left w:w="56" w:type="dxa"/>
              <w:right w:w="56"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въезде в ст. Новотитаровскую со стороны ст. Динской</w:t>
            </w:r>
          </w:p>
        </w:tc>
        <w:tc>
          <w:tcPr>
            <w:tcW w:w="277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камеры фото и видео фиксации нарушений ПДД</w:t>
            </w:r>
          </w:p>
        </w:tc>
        <w:tc>
          <w:tcPr>
            <w:tcW w:w="165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2020</w:t>
            </w:r>
          </w:p>
        </w:tc>
        <w:tc>
          <w:tcPr>
            <w:tcW w:w="1819"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200,0</w:t>
            </w:r>
          </w:p>
        </w:tc>
      </w:tr>
      <w:tr>
        <w:trPr>
          <w:trHeight w:val="1" w:hRule="atLeast"/>
          <w:jc w:val="left"/>
        </w:trPr>
        <w:tc>
          <w:tcPr>
            <w:tcW w:w="57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597" w:type="dxa"/>
            <w:tcBorders>
              <w:top w:val="single" w:color="00000a" w:sz="4"/>
              <w:left w:val="single" w:color="00000a" w:sz="4"/>
              <w:bottom w:val="single" w:color="00000a" w:sz="4"/>
              <w:right w:val="single" w:color="00000a" w:sz="4"/>
            </w:tcBorders>
            <w:shd w:color="auto" w:fill="auto" w:val="clear"/>
            <w:tcMar>
              <w:left w:w="56" w:type="dxa"/>
              <w:right w:w="56" w:type="dxa"/>
            </w:tcMar>
            <w:vAlign w:val="top"/>
          </w:tcPr>
          <w:p>
            <w:pPr>
              <w:suppressAutoHyphens w:val="true"/>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 пересечении ул. Крайняя и ул. Советская</w:t>
            </w:r>
          </w:p>
        </w:tc>
        <w:tc>
          <w:tcPr>
            <w:tcW w:w="277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камеры фото и видео фиксации нарушений ПДД</w:t>
            </w:r>
          </w:p>
        </w:tc>
        <w:tc>
          <w:tcPr>
            <w:tcW w:w="165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2025</w:t>
            </w:r>
          </w:p>
        </w:tc>
        <w:tc>
          <w:tcPr>
            <w:tcW w:w="1819"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200,0</w:t>
            </w:r>
          </w:p>
        </w:tc>
      </w:tr>
      <w:tr>
        <w:trPr>
          <w:trHeight w:val="1140" w:hRule="auto"/>
          <w:jc w:val="left"/>
        </w:trPr>
        <w:tc>
          <w:tcPr>
            <w:tcW w:w="57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597" w:type="dxa"/>
            <w:tcBorders>
              <w:top w:val="single" w:color="00000a" w:sz="4"/>
              <w:left w:val="single" w:color="00000a" w:sz="4"/>
              <w:bottom w:val="single" w:color="00000a" w:sz="4"/>
              <w:right w:val="single" w:color="00000a" w:sz="4"/>
            </w:tcBorders>
            <w:shd w:color="auto" w:fill="auto" w:val="clear"/>
            <w:tcMar>
              <w:left w:w="56" w:type="dxa"/>
              <w:right w:w="56" w:type="dxa"/>
            </w:tcMar>
            <w:vAlign w:val="top"/>
          </w:tcPr>
          <w:p>
            <w:pPr>
              <w:suppressAutoHyphens w:val="true"/>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 пересечении ул. Пролетарская и ул. Ленина</w:t>
            </w:r>
          </w:p>
        </w:tc>
        <w:tc>
          <w:tcPr>
            <w:tcW w:w="277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Установка камеры фото и видео фиксации нарушений ПДД</w:t>
            </w:r>
          </w:p>
        </w:tc>
        <w:tc>
          <w:tcPr>
            <w:tcW w:w="165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2025</w:t>
            </w:r>
          </w:p>
        </w:tc>
        <w:tc>
          <w:tcPr>
            <w:tcW w:w="1819"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200,0</w:t>
            </w:r>
          </w:p>
        </w:tc>
      </w:tr>
      <w:tr>
        <w:trPr>
          <w:trHeight w:val="1" w:hRule="atLeast"/>
          <w:jc w:val="left"/>
        </w:trPr>
        <w:tc>
          <w:tcPr>
            <w:tcW w:w="572"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97"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Итого:</w:t>
            </w:r>
          </w:p>
        </w:tc>
        <w:tc>
          <w:tcPr>
            <w:tcW w:w="2775"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650"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19" w:type="dxa"/>
            <w:tcBorders>
              <w:top w:val="single" w:color="00000a" w:sz="4"/>
              <w:left w:val="single" w:color="00000a" w:sz="4"/>
              <w:bottom w:val="single" w:color="00000a" w:sz="4"/>
              <w:right w:val="single" w:color="00000a" w:sz="4"/>
            </w:tcBorders>
            <w:shd w:color="auto" w:fill="auto" w:val="clear"/>
            <w:tcMar>
              <w:left w:w="56" w:type="dxa"/>
              <w:right w:w="56" w:type="dxa"/>
            </w:tcMar>
            <w:vAlign w:val="center"/>
          </w:tcPr>
          <w:p>
            <w:pPr>
              <w:spacing w:before="0" w:after="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600,0</w:t>
            </w:r>
          </w:p>
        </w:tc>
      </w:tr>
    </w:tbl>
    <w:p>
      <w:pPr>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76"/>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76"/>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5.  </w:t>
      </w:r>
      <w:r>
        <w:rPr>
          <w:rFonts w:ascii="Times New Roman" w:hAnsi="Times New Roman" w:cs="Times New Roman" w:eastAsia="Times New Roman"/>
          <w:b/>
          <w:color w:val="000000"/>
          <w:spacing w:val="0"/>
          <w:position w:val="0"/>
          <w:sz w:val="28"/>
          <w:shd w:fill="auto" w:val="clear"/>
        </w:rPr>
        <w:t xml:space="preserve">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НОВОТИТАРОВСКОГО СЕЛЬСКОГО ПОСЕЛЕНИЯ ДИНСКОГО РАЙОНА</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целях обеспечения возможности реализации предлагаемых в составе КСОДД мероприятий на территории Новотитаровского сельского поселения, при необходимости разрабатываются 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Основанием для данной работы служат результаты проведенного в рамках выполнения первого этапа (Том 1) настоящей КСОДД всестороннего анализа сложившейся ситуации по организации дорожного движения на территории муниципального образования Новотитаровского сельского поселения Динского района Краснодарского края.</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Анализ организационной деятельности в сфере ОДД показал, что задачи деятельности по ОДД на территории Новотитаровского сельского поселения фактически решают органы местного самоуправления муниципального образования. По заданию администрации муниципального образования был разработан Проект дислокации дорожных знаков на территории Новотитаровского сельского поселения. В последующие годы постановлениями администрации муниципального образования в Проект дислокации вносились изменения в целях совершенствования организации и безопасности дорожного движения.</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tab/>
      </w:r>
      <w:r>
        <w:rPr>
          <w:rFonts w:ascii="Times New Roman" w:hAnsi="Times New Roman" w:cs="Times New Roman" w:eastAsia="Times New Roman"/>
          <w:color w:val="auto"/>
          <w:spacing w:val="0"/>
          <w:position w:val="0"/>
          <w:sz w:val="28"/>
          <w:shd w:fill="auto" w:val="clear"/>
        </w:rPr>
        <w:t xml:space="preserve">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Система информационного обеспечения деятельности органов местного самоуправления Новотитаровского сельского поселения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Краснодарского края, в том числе и в виде мобильного приложения.</w:t>
      </w: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Разработка предложений по институциональным преобразованиям может быть обусловлена необходимостью количественно-качественных изменений социальных институтов жизнедеятельности населения муниципального образования, когда изменения нормативно-правовой базы не смогут оказать необходимого воздействия на совершенствование ОДД.</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Институциональные изменения проявляются не на уровне изменения правил, а на уровне изменения институтов, функционирующих в данной среде и определяющих данную среду.</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Социальный (или общественный) институт – это исторически сложившаяся или созданная целенаправленными усилиями форма организации совместной жизнедеятельности людей, осуществление которой диктуется необходимостью удовлетворения социальных, экономических, политических, культурных и иных потребностей общества в целом или его части. Институты характеризуются своими возможностями влиять на поведение людей посредством установленных правил.</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результате укрупненной оценки вариантов проектирования КСОДД предпочтение было отдано так называемому "инерционному" варианту. Реализация указанного сценария не предполагает каких-либо  кардинальных изменений в системе сложившихся жизненных стереотипов  населения Новотитаровского сельского поселения.  Исходя из этого, отсутствуют объективные предпосылки институциональных преобразований в Новотитаровском сельском поселении.</w:t>
      </w:r>
    </w:p>
    <w:p>
      <w:pPr>
        <w:keepNext w:val="true"/>
        <w:keepLines w:val="true"/>
        <w:tabs>
          <w:tab w:val="left" w:pos="720" w:leader="none"/>
        </w:tabs>
        <w:suppressAutoHyphens w:val="true"/>
        <w:spacing w:before="0" w:after="20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tabs>
          <w:tab w:val="left" w:pos="720" w:leader="none"/>
        </w:tabs>
        <w:suppressAutoHyphens w:val="true"/>
        <w:spacing w:before="0" w:after="200" w:line="276"/>
        <w:ind w:right="0" w:left="0" w:firstLine="0"/>
        <w:jc w:val="center"/>
        <w:rPr>
          <w:rFonts w:ascii="Times New Roman" w:hAnsi="Times New Roman" w:cs="Times New Roman" w:eastAsia="Times New Roman"/>
          <w:b/>
          <w:color w:val="000000"/>
          <w:spacing w:val="0"/>
          <w:position w:val="0"/>
          <w:sz w:val="28"/>
          <w:shd w:fill="auto" w:val="clear"/>
        </w:rPr>
      </w:pPr>
    </w:p>
    <w:p>
      <w:pPr>
        <w:keepNext w:val="true"/>
        <w:keepLines w:val="true"/>
        <w:tabs>
          <w:tab w:val="left" w:pos="720" w:leader="none"/>
        </w:tabs>
        <w:suppressAutoHyphens w:val="true"/>
        <w:spacing w:before="0" w:after="200" w:line="276"/>
        <w:ind w:right="0" w:left="0" w:firstLine="0"/>
        <w:jc w:val="center"/>
        <w:rPr>
          <w:rFonts w:ascii="Times New Roman" w:hAnsi="Times New Roman" w:cs="Times New Roman" w:eastAsia="Times New Roman"/>
          <w:b/>
          <w:color w:val="000000"/>
          <w:spacing w:val="0"/>
          <w:position w:val="0"/>
          <w:sz w:val="28"/>
          <w:shd w:fill="auto" w:val="clear"/>
        </w:rPr>
      </w:pPr>
    </w:p>
    <w:p>
      <w:pPr>
        <w:keepNext w:val="true"/>
        <w:keepLines w:val="true"/>
        <w:tabs>
          <w:tab w:val="left" w:pos="720" w:leader="none"/>
        </w:tabs>
        <w:suppressAutoHyphens w:val="true"/>
        <w:spacing w:before="0" w:after="200" w:line="276"/>
        <w:ind w:right="0" w:left="0" w:firstLine="0"/>
        <w:jc w:val="center"/>
        <w:rPr>
          <w:rFonts w:ascii="Times New Roman" w:hAnsi="Times New Roman" w:cs="Times New Roman" w:eastAsia="Times New Roman"/>
          <w:b/>
          <w:color w:val="000000"/>
          <w:spacing w:val="0"/>
          <w:position w:val="0"/>
          <w:sz w:val="28"/>
          <w:shd w:fill="auto" w:val="clear"/>
        </w:rPr>
      </w:pPr>
    </w:p>
    <w:p>
      <w:pPr>
        <w:keepNext w:val="true"/>
        <w:keepLines w:val="true"/>
        <w:tabs>
          <w:tab w:val="left" w:pos="720" w:leader="none"/>
        </w:tabs>
        <w:suppressAutoHyphens w:val="true"/>
        <w:spacing w:before="0" w:after="200" w:line="276"/>
        <w:ind w:right="0" w:left="0" w:firstLine="0"/>
        <w:jc w:val="center"/>
        <w:rPr>
          <w:rFonts w:ascii="Times New Roman" w:hAnsi="Times New Roman" w:cs="Times New Roman" w:eastAsia="Times New Roman"/>
          <w:b/>
          <w:color w:val="000000"/>
          <w:spacing w:val="0"/>
          <w:position w:val="0"/>
          <w:sz w:val="28"/>
          <w:shd w:fill="auto" w:val="clear"/>
        </w:rPr>
      </w:pPr>
    </w:p>
    <w:p>
      <w:pPr>
        <w:keepNext w:val="true"/>
        <w:keepLines w:val="true"/>
        <w:tabs>
          <w:tab w:val="left" w:pos="720" w:leader="none"/>
        </w:tabs>
        <w:suppressAutoHyphens w:val="true"/>
        <w:spacing w:before="0" w:after="200" w:line="276"/>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tabs>
          <w:tab w:val="left" w:pos="720" w:leader="none"/>
        </w:tabs>
        <w:suppressAutoHyphens w:val="true"/>
        <w:spacing w:before="0" w:after="200" w:line="276"/>
        <w:ind w:right="0" w:left="0" w:firstLine="0"/>
        <w:jc w:val="center"/>
        <w:rPr>
          <w:rFonts w:ascii="Cambria" w:hAnsi="Cambria" w:cs="Cambria" w:eastAsia="Cambria"/>
          <w:b/>
          <w:color w:val="365F91"/>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ЗАКЛЮЧЕНИЕ</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результате выполненной работы проанализировано текущее состояние транспортного комплекса Новотитаровского сельского поселения, выявлены основные проблемы транспортного комплекса, проведен социально-экономический анализ, создан прогноз социально-экономического развития до 2032 года, выявлены основные тенденции.</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Анализ основных проблем транспортного комплекса муниципального образования показал, что на данный момент транспортный комплекс в целом функционирует удовлетворительно. Опорная сеть удовлетворяет условиям комфортного передвижения (загрузка менее 70%).</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Выявлен ряд локальных проблем, связанных, как правило, с организацией дорожного движения, несоответствием технических средств организации дорожного движения.  Был разработан план мероприятий по приведению в нормативное транспортно-эксплуатационное состояние, который может корректироваться в процессе реализации.</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Разработаны предложения по развитию велосипедного транспорта и пешеходного движения, проведен анализ основных велосипедных и пешеходных потоков. Разработаны предложения по формированию пешеходных зон, обеспечению безопасности движения пешеходов и велосипедистов, предложения по нормативно-правовому обеспечению велосипедного и пешеходного движения.</w:t>
      </w:r>
    </w:p>
    <w:p>
      <w:pPr>
        <w:spacing w:before="0" w:after="0" w:line="276"/>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Создана взаимоувязанная адресная программа мероприятий с определением источников финансирования.</w:t>
      </w:r>
    </w:p>
    <w:p>
      <w:pPr>
        <w:spacing w:before="0" w:after="0" w:line="276"/>
        <w:ind w:right="0" w:left="0" w:firstLine="708"/>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Оценка объемов и источников финансирования мероприятий (инвестиционных проектов) по ремонту и капитальному ремонту объектов транспортной инфраструктуры Новотитаровского сельского поселения проводилась укрупненно.     </w:t>
      </w: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p>
      <w:pPr>
        <w:suppressAutoHyphens w:val="true"/>
        <w:spacing w:before="0" w:after="0" w:line="276"/>
        <w:ind w:right="0" w:left="0" w:firstLine="0"/>
        <w:jc w:val="both"/>
        <w:rPr>
          <w:rFonts w:ascii="Times New Roman" w:hAnsi="Times New Roman" w:cs="Times New Roman" w:eastAsia="Times New Roman"/>
          <w:color w:val="000000"/>
          <w:spacing w:val="0"/>
          <w:position w:val="0"/>
          <w:sz w:val="28"/>
          <w:shd w:fill="FFFFFF"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90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