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79" w:rsidRPr="00DB1179" w:rsidRDefault="00DB1179" w:rsidP="00DB1179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DB1179">
        <w:rPr>
          <w:rFonts w:ascii="Times New Roman" w:eastAsia="Arial Unicode MS" w:hAnsi="Times New Roman"/>
          <w:b/>
          <w:noProof/>
          <w:color w:val="000000"/>
          <w:kern w:val="2"/>
          <w:sz w:val="34"/>
          <w:szCs w:val="34"/>
          <w:lang w:eastAsia="ru-RU"/>
        </w:rPr>
        <w:drawing>
          <wp:inline distT="0" distB="0" distL="0" distR="0" wp14:anchorId="3D2FC694" wp14:editId="47479622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79" w:rsidRPr="00DB1179" w:rsidRDefault="00DB1179" w:rsidP="00DB1179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</w:pPr>
      <w:r w:rsidRPr="00DB1179"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DB1179" w:rsidRPr="00DB1179" w:rsidRDefault="00DB1179" w:rsidP="00DB1179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34"/>
          <w:szCs w:val="34"/>
          <w:lang w:eastAsia="ru-RU"/>
        </w:rPr>
      </w:pPr>
      <w:r w:rsidRPr="00DB1179"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DB1179" w:rsidRPr="00DB1179" w:rsidRDefault="00DB1179" w:rsidP="00DB1179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DB1179" w:rsidRPr="00DB1179" w:rsidRDefault="00DB1179" w:rsidP="00DB1179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</w:pPr>
      <w:r w:rsidRPr="00DB1179">
        <w:rPr>
          <w:rFonts w:ascii="Times New Roman" w:eastAsia="Arial Unicode MS" w:hAnsi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DB1179" w:rsidRPr="00DB1179" w:rsidRDefault="00DB1179" w:rsidP="00DB1179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DB1179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от 29.02.2024                                                                                   № 29</w:t>
      </w: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8</w:t>
      </w:r>
      <w:r w:rsidRPr="00DB1179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-74/04</w:t>
      </w:r>
    </w:p>
    <w:p w:rsidR="00C20BB7" w:rsidRDefault="00C20BB7" w:rsidP="00642480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r w:rsidR="00642480">
        <w:rPr>
          <w:rFonts w:ascii="Times New Roman" w:hAnsi="Times New Roman"/>
          <w:b/>
          <w:sz w:val="28"/>
          <w:szCs w:val="28"/>
        </w:rPr>
        <w:t>Новотитаровском сельском поселении Динского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631F" w:rsidRDefault="00B1631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642480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480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1808B9" w:rsidRPr="00B05D1F">
        <w:rPr>
          <w:rFonts w:ascii="Times New Roman" w:hAnsi="Times New Roman"/>
          <w:sz w:val="28"/>
          <w:szCs w:val="28"/>
        </w:rPr>
        <w:t xml:space="preserve">                        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642480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642480" w:rsidRPr="00642480"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</w:t>
      </w:r>
      <w:r w:rsidR="00C20BB7" w:rsidRPr="00B05D1F">
        <w:rPr>
          <w:rFonts w:ascii="Times New Roman" w:hAnsi="Times New Roman"/>
          <w:sz w:val="28"/>
          <w:szCs w:val="28"/>
        </w:rPr>
        <w:t>Р</w:t>
      </w:r>
      <w:r w:rsidR="00642480">
        <w:rPr>
          <w:rFonts w:ascii="Times New Roman" w:hAnsi="Times New Roman"/>
          <w:sz w:val="28"/>
          <w:szCs w:val="28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Е</w:t>
      </w:r>
      <w:r w:rsidR="00642480">
        <w:rPr>
          <w:rFonts w:ascii="Times New Roman" w:hAnsi="Times New Roman"/>
          <w:sz w:val="28"/>
          <w:szCs w:val="28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Ш</w:t>
      </w:r>
      <w:r w:rsidR="00642480">
        <w:rPr>
          <w:rFonts w:ascii="Times New Roman" w:hAnsi="Times New Roman"/>
          <w:sz w:val="28"/>
          <w:szCs w:val="28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И</w:t>
      </w:r>
      <w:r w:rsidR="00642480">
        <w:rPr>
          <w:rFonts w:ascii="Times New Roman" w:hAnsi="Times New Roman"/>
          <w:sz w:val="28"/>
          <w:szCs w:val="28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Л: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642480">
        <w:rPr>
          <w:sz w:val="28"/>
          <w:szCs w:val="28"/>
        </w:rPr>
        <w:t>Новотитаровского сельского поселения Динского района,</w:t>
      </w:r>
      <w:r w:rsidRPr="00B05D1F">
        <w:rPr>
          <w:sz w:val="28"/>
          <w:szCs w:val="28"/>
        </w:rPr>
        <w:t xml:space="preserve"> согласно приложению.</w:t>
      </w:r>
    </w:p>
    <w:p w:rsidR="00B05D1F" w:rsidRPr="00B05D1F" w:rsidRDefault="00B05D1F" w:rsidP="00B05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D7C0D">
        <w:rPr>
          <w:rFonts w:ascii="Times New Roman" w:hAnsi="Times New Roman"/>
          <w:color w:val="000000"/>
          <w:sz w:val="28"/>
          <w:szCs w:val="28"/>
        </w:rPr>
        <w:t>А</w:t>
      </w:r>
      <w:r w:rsidR="00642480" w:rsidRPr="00642480">
        <w:rPr>
          <w:rFonts w:ascii="Times New Roman" w:hAnsi="Times New Roman"/>
          <w:color w:val="000000"/>
          <w:sz w:val="28"/>
          <w:szCs w:val="28"/>
        </w:rPr>
        <w:t>дминистрации Новотитаровского сель</w:t>
      </w:r>
      <w:r w:rsidR="00AD7C0D">
        <w:rPr>
          <w:rFonts w:ascii="Times New Roman" w:hAnsi="Times New Roman"/>
          <w:color w:val="000000"/>
          <w:sz w:val="28"/>
          <w:szCs w:val="28"/>
        </w:rPr>
        <w:t xml:space="preserve">ского поселения Динского района </w:t>
      </w:r>
      <w:r w:rsidR="00642480" w:rsidRPr="00642480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 w:rsidR="000A3F1F">
        <w:rPr>
          <w:rFonts w:ascii="Times New Roman" w:hAnsi="Times New Roman"/>
          <w:color w:val="000000"/>
          <w:sz w:val="28"/>
          <w:szCs w:val="28"/>
        </w:rPr>
        <w:t>решение</w:t>
      </w:r>
      <w:r w:rsidR="00642480" w:rsidRPr="00642480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 и разместить на официальном сайте администрации Новотитаровского сельского поселения Динского р</w:t>
      </w:r>
      <w:r w:rsidR="00642480">
        <w:rPr>
          <w:rFonts w:ascii="Times New Roman" w:hAnsi="Times New Roman"/>
          <w:color w:val="000000"/>
          <w:sz w:val="28"/>
          <w:szCs w:val="28"/>
        </w:rPr>
        <w:t>айона www.novotitarovskaya.info</w:t>
      </w:r>
      <w:r w:rsidRPr="00B05D1F">
        <w:rPr>
          <w:rFonts w:ascii="Times New Roman" w:hAnsi="Times New Roman"/>
          <w:color w:val="000000"/>
          <w:sz w:val="28"/>
          <w:szCs w:val="28"/>
        </w:rPr>
        <w:t>.</w:t>
      </w:r>
    </w:p>
    <w:p w:rsidR="00642480" w:rsidRPr="00642480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35525">
        <w:rPr>
          <w:rFonts w:ascii="Times New Roman" w:hAnsi="Times New Roman"/>
          <w:color w:val="000000"/>
          <w:sz w:val="28"/>
          <w:szCs w:val="28"/>
        </w:rPr>
        <w:t>3</w:t>
      </w:r>
      <w:r w:rsidRPr="00642480"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</w:t>
      </w:r>
      <w:r w:rsidR="000A3F1F">
        <w:rPr>
          <w:rFonts w:ascii="Times New Roman" w:hAnsi="Times New Roman"/>
          <w:color w:val="000000"/>
          <w:sz w:val="28"/>
          <w:szCs w:val="28"/>
        </w:rPr>
        <w:t>решения</w:t>
      </w:r>
      <w:r w:rsidRPr="00642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F1F">
        <w:rPr>
          <w:rFonts w:ascii="Times New Roman" w:hAnsi="Times New Roman"/>
          <w:color w:val="000000"/>
          <w:sz w:val="28"/>
          <w:szCs w:val="28"/>
        </w:rPr>
        <w:t>возложить на комиссию по вопросам собственности, ЖКХ и благоустройству (Никитенко)</w:t>
      </w:r>
      <w:r w:rsidRPr="00642480">
        <w:rPr>
          <w:rFonts w:ascii="Times New Roman" w:hAnsi="Times New Roman"/>
          <w:color w:val="000000"/>
          <w:sz w:val="28"/>
          <w:szCs w:val="28"/>
        </w:rPr>
        <w:t>.</w:t>
      </w:r>
    </w:p>
    <w:p w:rsidR="00B05D1F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35525">
        <w:rPr>
          <w:rFonts w:ascii="Times New Roman" w:hAnsi="Times New Roman"/>
          <w:color w:val="000000"/>
          <w:sz w:val="28"/>
          <w:szCs w:val="28"/>
        </w:rPr>
        <w:t>4</w:t>
      </w:r>
      <w:r w:rsidRPr="006424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A3F1F">
        <w:rPr>
          <w:rFonts w:ascii="Times New Roman" w:hAnsi="Times New Roman"/>
          <w:color w:val="000000"/>
          <w:sz w:val="28"/>
          <w:szCs w:val="28"/>
        </w:rPr>
        <w:t>Решение</w:t>
      </w:r>
      <w:r w:rsidRPr="00642480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официального обнародования.</w:t>
      </w:r>
    </w:p>
    <w:p w:rsidR="00B05D1F" w:rsidRDefault="00B05D1F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480" w:rsidRPr="00642480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>Председатель Совета</w:t>
      </w:r>
    </w:p>
    <w:p w:rsidR="00642480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>Новотитаровского сельского поселения                                         К.А. Прокофьев</w:t>
      </w:r>
    </w:p>
    <w:p w:rsidR="00642480" w:rsidRPr="00642480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480" w:rsidRPr="00642480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lastRenderedPageBreak/>
        <w:t>Глав</w:t>
      </w:r>
      <w:r w:rsidR="00DD3BA7">
        <w:rPr>
          <w:rFonts w:ascii="Times New Roman" w:hAnsi="Times New Roman"/>
          <w:sz w:val="28"/>
          <w:szCs w:val="28"/>
        </w:rPr>
        <w:t>а</w:t>
      </w:r>
      <w:r w:rsidRPr="00642480">
        <w:rPr>
          <w:rFonts w:ascii="Times New Roman" w:hAnsi="Times New Roman"/>
          <w:sz w:val="28"/>
          <w:szCs w:val="28"/>
        </w:rPr>
        <w:t xml:space="preserve"> Новотитаровского</w:t>
      </w:r>
    </w:p>
    <w:p w:rsidR="00325AEB" w:rsidRDefault="00642480" w:rsidP="00642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Pr="0064248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DD3BA7">
        <w:rPr>
          <w:rFonts w:ascii="Times New Roman" w:hAnsi="Times New Roman"/>
          <w:sz w:val="28"/>
          <w:szCs w:val="28"/>
        </w:rPr>
        <w:t>С</w:t>
      </w:r>
      <w:r w:rsidRPr="00642480">
        <w:rPr>
          <w:rFonts w:ascii="Times New Roman" w:hAnsi="Times New Roman"/>
          <w:sz w:val="28"/>
          <w:szCs w:val="28"/>
        </w:rPr>
        <w:t>.</w:t>
      </w:r>
      <w:r w:rsidR="00DD3BA7">
        <w:rPr>
          <w:rFonts w:ascii="Times New Roman" w:hAnsi="Times New Roman"/>
          <w:sz w:val="28"/>
          <w:szCs w:val="28"/>
        </w:rPr>
        <w:t>К</w:t>
      </w:r>
      <w:r w:rsidRPr="00642480">
        <w:rPr>
          <w:rFonts w:ascii="Times New Roman" w:hAnsi="Times New Roman"/>
          <w:sz w:val="28"/>
          <w:szCs w:val="28"/>
        </w:rPr>
        <w:t xml:space="preserve">. </w:t>
      </w:r>
      <w:r w:rsidR="00DD3BA7">
        <w:rPr>
          <w:rFonts w:ascii="Times New Roman" w:hAnsi="Times New Roman"/>
          <w:sz w:val="28"/>
          <w:szCs w:val="28"/>
        </w:rPr>
        <w:t>Кошман</w:t>
      </w:r>
    </w:p>
    <w:p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</w:p>
    <w:p w:rsidR="00642480" w:rsidRDefault="00325AEB" w:rsidP="00642480">
      <w:pPr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642480" w:rsidRPr="00642480">
        <w:rPr>
          <w:rFonts w:ascii="Times New Roman" w:eastAsia="TimesNewRomanPSMT" w:hAnsi="Times New Roman"/>
          <w:sz w:val="28"/>
          <w:szCs w:val="28"/>
        </w:rPr>
        <w:t>ПРИЛОЖЕНИЕ</w:t>
      </w:r>
    </w:p>
    <w:p w:rsidR="00642480" w:rsidRPr="00642480" w:rsidRDefault="00642480" w:rsidP="00642480">
      <w:pPr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642480" w:rsidRPr="00642480" w:rsidRDefault="00642480" w:rsidP="00642480">
      <w:pPr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642480">
        <w:rPr>
          <w:rFonts w:ascii="Times New Roman" w:eastAsia="TimesNewRomanPSMT" w:hAnsi="Times New Roman"/>
          <w:sz w:val="28"/>
          <w:szCs w:val="28"/>
        </w:rPr>
        <w:t>к решению Совета Новотитаровского</w:t>
      </w:r>
    </w:p>
    <w:p w:rsidR="00642480" w:rsidRPr="00642480" w:rsidRDefault="00642480" w:rsidP="00642480">
      <w:pPr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642480">
        <w:rPr>
          <w:rFonts w:ascii="Times New Roman" w:eastAsia="TimesNewRomanPSMT" w:hAnsi="Times New Roman"/>
          <w:sz w:val="28"/>
          <w:szCs w:val="28"/>
        </w:rPr>
        <w:t>сельского поселения Динского района</w:t>
      </w:r>
    </w:p>
    <w:p w:rsidR="00325AEB" w:rsidRDefault="00642480" w:rsidP="00642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D8067F">
        <w:rPr>
          <w:rFonts w:ascii="Times New Roman" w:eastAsia="TimesNewRomanPSMT" w:hAnsi="Times New Roman"/>
          <w:sz w:val="28"/>
          <w:szCs w:val="28"/>
        </w:rPr>
        <w:t>29.02.2024</w:t>
      </w:r>
      <w:r w:rsidRPr="00642480">
        <w:rPr>
          <w:rFonts w:ascii="Times New Roman" w:eastAsia="TimesNewRomanPSMT" w:hAnsi="Times New Roman"/>
          <w:sz w:val="28"/>
          <w:szCs w:val="28"/>
        </w:rPr>
        <w:t xml:space="preserve">№ </w:t>
      </w:r>
      <w:r w:rsidR="00D8067F">
        <w:rPr>
          <w:rFonts w:ascii="Times New Roman" w:eastAsia="TimesNewRomanPSMT" w:hAnsi="Times New Roman"/>
          <w:sz w:val="28"/>
          <w:szCs w:val="28"/>
        </w:rPr>
        <w:t>298-74/04</w:t>
      </w:r>
      <w:bookmarkStart w:id="0" w:name="_GoBack"/>
      <w:bookmarkEnd w:id="0"/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642480" w:rsidRPr="00642480">
        <w:rPr>
          <w:rFonts w:ascii="Times New Roman" w:hAnsi="Times New Roman" w:cs="Times New Roman"/>
          <w:sz w:val="28"/>
          <w:szCs w:val="28"/>
        </w:rPr>
        <w:t>Новотитаровском сельском поселении Динского района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53189E" w:rsidRPr="0053189E">
        <w:rPr>
          <w:color w:val="000000" w:themeColor="text1"/>
          <w:sz w:val="28"/>
          <w:szCs w:val="28"/>
        </w:rPr>
        <w:t>Новотитаровском сельском поселении Динского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proofErr w:type="gramStart"/>
      <w:r w:rsidRPr="00DD5B97">
        <w:rPr>
          <w:color w:val="000000" w:themeColor="text1"/>
          <w:sz w:val="28"/>
          <w:szCs w:val="28"/>
        </w:rPr>
        <w:t>памяти</w:t>
      </w:r>
      <w:proofErr w:type="gramEnd"/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r w:rsidR="0053189E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1203F5">
        <w:rPr>
          <w:color w:val="000000" w:themeColor="text1"/>
          <w:sz w:val="28"/>
          <w:szCs w:val="28"/>
        </w:rPr>
        <w:t>Новотитаровскому</w:t>
      </w:r>
      <w:proofErr w:type="spellEnd"/>
      <w:r w:rsidR="0053189E" w:rsidRPr="0053189E">
        <w:rPr>
          <w:color w:val="000000" w:themeColor="text1"/>
          <w:sz w:val="28"/>
          <w:szCs w:val="28"/>
        </w:rPr>
        <w:t xml:space="preserve"> сельском</w:t>
      </w:r>
      <w:r w:rsidR="0053189E">
        <w:rPr>
          <w:color w:val="000000" w:themeColor="text1"/>
          <w:sz w:val="28"/>
          <w:szCs w:val="28"/>
        </w:rPr>
        <w:t>у</w:t>
      </w:r>
      <w:r w:rsidR="0053189E" w:rsidRPr="0053189E">
        <w:rPr>
          <w:color w:val="000000" w:themeColor="text1"/>
          <w:sz w:val="28"/>
          <w:szCs w:val="28"/>
        </w:rPr>
        <w:t xml:space="preserve"> поселени</w:t>
      </w:r>
      <w:r w:rsidR="0053189E">
        <w:rPr>
          <w:color w:val="000000" w:themeColor="text1"/>
          <w:sz w:val="28"/>
          <w:szCs w:val="28"/>
        </w:rPr>
        <w:t xml:space="preserve">ю </w:t>
      </w:r>
      <w:r w:rsidR="0053189E" w:rsidRPr="0053189E">
        <w:rPr>
          <w:color w:val="000000" w:themeColor="text1"/>
          <w:sz w:val="28"/>
          <w:szCs w:val="28"/>
        </w:rPr>
        <w:lastRenderedPageBreak/>
        <w:t>Динского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53189E" w:rsidRPr="0053189E">
        <w:rPr>
          <w:color w:val="000000" w:themeColor="text1"/>
          <w:sz w:val="28"/>
          <w:szCs w:val="28"/>
        </w:rPr>
        <w:t>Новотитаровско</w:t>
      </w:r>
      <w:r w:rsidR="0053189E">
        <w:rPr>
          <w:color w:val="000000" w:themeColor="text1"/>
          <w:sz w:val="28"/>
          <w:szCs w:val="28"/>
        </w:rPr>
        <w:t>го</w:t>
      </w:r>
      <w:r w:rsidR="0053189E" w:rsidRPr="0053189E">
        <w:rPr>
          <w:color w:val="000000" w:themeColor="text1"/>
          <w:sz w:val="28"/>
          <w:szCs w:val="28"/>
        </w:rPr>
        <w:t xml:space="preserve"> сельско</w:t>
      </w:r>
      <w:r w:rsidR="0053189E">
        <w:rPr>
          <w:color w:val="000000" w:themeColor="text1"/>
          <w:sz w:val="28"/>
          <w:szCs w:val="28"/>
        </w:rPr>
        <w:t>го</w:t>
      </w:r>
      <w:r w:rsidR="0053189E" w:rsidRPr="0053189E">
        <w:rPr>
          <w:color w:val="000000" w:themeColor="text1"/>
          <w:sz w:val="28"/>
          <w:szCs w:val="28"/>
        </w:rPr>
        <w:t xml:space="preserve"> поселени</w:t>
      </w:r>
      <w:r w:rsidR="0053189E">
        <w:rPr>
          <w:color w:val="000000" w:themeColor="text1"/>
          <w:sz w:val="28"/>
          <w:szCs w:val="28"/>
        </w:rPr>
        <w:t>я</w:t>
      </w:r>
      <w:r w:rsidR="0053189E" w:rsidRPr="0053189E">
        <w:rPr>
          <w:color w:val="000000" w:themeColor="text1"/>
          <w:sz w:val="28"/>
          <w:szCs w:val="28"/>
        </w:rPr>
        <w:t xml:space="preserve"> Динского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53189E" w:rsidRPr="0053189E">
        <w:rPr>
          <w:color w:val="000000" w:themeColor="text1"/>
          <w:sz w:val="28"/>
          <w:szCs w:val="28"/>
        </w:rPr>
        <w:t xml:space="preserve">Новотитаровском сельском поселении Динского района </w:t>
      </w:r>
      <w:r w:rsidRPr="00DD5B97">
        <w:rPr>
          <w:color w:val="000000" w:themeColor="text1"/>
          <w:sz w:val="28"/>
          <w:szCs w:val="28"/>
        </w:rPr>
        <w:t>рассматривает</w:t>
      </w:r>
      <w:r w:rsidR="00875B19">
        <w:rPr>
          <w:color w:val="000000" w:themeColor="text1"/>
          <w:sz w:val="28"/>
          <w:szCs w:val="28"/>
        </w:rPr>
        <w:t xml:space="preserve"> комиссия </w:t>
      </w:r>
      <w:r w:rsidR="001203F5" w:rsidRPr="00DD5B97">
        <w:rPr>
          <w:color w:val="000000" w:themeColor="text1"/>
          <w:sz w:val="28"/>
          <w:szCs w:val="28"/>
        </w:rPr>
        <w:t>по наградам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5C8A" w:rsidRPr="00EB5C8A">
        <w:rPr>
          <w:color w:val="000000" w:themeColor="text1"/>
          <w:sz w:val="28"/>
          <w:szCs w:val="28"/>
        </w:rPr>
        <w:t>Новотитаровско</w:t>
      </w:r>
      <w:r w:rsidR="00EB5C8A">
        <w:rPr>
          <w:color w:val="000000" w:themeColor="text1"/>
          <w:sz w:val="28"/>
          <w:szCs w:val="28"/>
        </w:rPr>
        <w:t>го</w:t>
      </w:r>
      <w:r w:rsidR="00EB5C8A" w:rsidRPr="00EB5C8A">
        <w:rPr>
          <w:color w:val="000000" w:themeColor="text1"/>
          <w:sz w:val="28"/>
          <w:szCs w:val="28"/>
        </w:rPr>
        <w:t xml:space="preserve"> сельско</w:t>
      </w:r>
      <w:r w:rsidR="00EB5C8A">
        <w:rPr>
          <w:color w:val="000000" w:themeColor="text1"/>
          <w:sz w:val="28"/>
          <w:szCs w:val="28"/>
        </w:rPr>
        <w:t>го</w:t>
      </w:r>
      <w:r w:rsidR="00EB5C8A" w:rsidRPr="00EB5C8A">
        <w:rPr>
          <w:color w:val="000000" w:themeColor="text1"/>
          <w:sz w:val="28"/>
          <w:szCs w:val="28"/>
        </w:rPr>
        <w:t xml:space="preserve"> поселени</w:t>
      </w:r>
      <w:r w:rsidR="00EB5C8A">
        <w:rPr>
          <w:color w:val="000000" w:themeColor="text1"/>
          <w:sz w:val="28"/>
          <w:szCs w:val="28"/>
        </w:rPr>
        <w:t>я</w:t>
      </w:r>
      <w:r w:rsidR="00EB5C8A" w:rsidRPr="00EB5C8A">
        <w:rPr>
          <w:color w:val="000000" w:themeColor="text1"/>
          <w:sz w:val="28"/>
          <w:szCs w:val="28"/>
        </w:rPr>
        <w:t xml:space="preserve">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</w:t>
      </w:r>
      <w:r w:rsidRPr="00DD5B97">
        <w:rPr>
          <w:color w:val="000000" w:themeColor="text1"/>
          <w:sz w:val="28"/>
          <w:szCs w:val="28"/>
        </w:rPr>
        <w:lastRenderedPageBreak/>
        <w:t>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1203F5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1203F5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1203F5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1203F5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03F5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</w:t>
      </w:r>
      <w:r w:rsidR="001203F5">
        <w:rPr>
          <w:color w:val="000000" w:themeColor="text1"/>
          <w:sz w:val="28"/>
          <w:szCs w:val="28"/>
        </w:rPr>
        <w:t xml:space="preserve"> главой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 начальником финансово</w:t>
      </w:r>
      <w:r w:rsidR="00B72774">
        <w:rPr>
          <w:color w:val="000000" w:themeColor="text1"/>
          <w:sz w:val="28"/>
          <w:szCs w:val="28"/>
        </w:rPr>
        <w:t>-экономического</w:t>
      </w:r>
      <w:r w:rsidRPr="00DD5B97">
        <w:rPr>
          <w:color w:val="000000" w:themeColor="text1"/>
          <w:sz w:val="28"/>
          <w:szCs w:val="28"/>
        </w:rPr>
        <w:t xml:space="preserve"> отдела администрации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B72774">
        <w:rPr>
          <w:color w:val="000000" w:themeColor="text1"/>
          <w:sz w:val="28"/>
          <w:szCs w:val="28"/>
        </w:rPr>
        <w:t xml:space="preserve">Новотитаровского сельского поселения Динского района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B7277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B7277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B7277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5739F6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 w:rsidR="005739F6">
        <w:rPr>
          <w:color w:val="000000" w:themeColor="text1"/>
          <w:sz w:val="28"/>
          <w:szCs w:val="28"/>
        </w:rPr>
        <w:t xml:space="preserve">Новотитаровского сельского поселения Динского района </w:t>
      </w:r>
      <w:r>
        <w:rPr>
          <w:color w:val="000000" w:themeColor="text1"/>
          <w:sz w:val="28"/>
          <w:szCs w:val="28"/>
        </w:rPr>
        <w:t xml:space="preserve">информирует </w:t>
      </w:r>
      <w:r>
        <w:rPr>
          <w:color w:val="000000" w:themeColor="text1"/>
          <w:sz w:val="28"/>
          <w:szCs w:val="28"/>
        </w:rPr>
        <w:lastRenderedPageBreak/>
        <w:t xml:space="preserve">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5739F6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578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578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578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125784">
        <w:rPr>
          <w:color w:val="000000" w:themeColor="text1"/>
          <w:sz w:val="28"/>
          <w:szCs w:val="28"/>
        </w:rPr>
        <w:t xml:space="preserve">Новотитаровского </w:t>
      </w:r>
      <w:r w:rsidR="00125784">
        <w:rPr>
          <w:color w:val="000000" w:themeColor="text1"/>
          <w:sz w:val="28"/>
          <w:szCs w:val="28"/>
        </w:rPr>
        <w:lastRenderedPageBreak/>
        <w:t>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578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12578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125784">
        <w:rPr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0BB7" w:rsidRPr="00DD5B9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D16A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9D" w:rsidRDefault="006B5F9D" w:rsidP="00580DB4">
      <w:pPr>
        <w:spacing w:after="0" w:line="240" w:lineRule="auto"/>
      </w:pPr>
      <w:r>
        <w:separator/>
      </w:r>
    </w:p>
  </w:endnote>
  <w:endnote w:type="continuationSeparator" w:id="0">
    <w:p w:rsidR="006B5F9D" w:rsidRDefault="006B5F9D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9D" w:rsidRDefault="006B5F9D" w:rsidP="00580DB4">
      <w:pPr>
        <w:spacing w:after="0" w:line="240" w:lineRule="auto"/>
      </w:pPr>
      <w:r>
        <w:separator/>
      </w:r>
    </w:p>
  </w:footnote>
  <w:footnote w:type="continuationSeparator" w:id="0">
    <w:p w:rsidR="006B5F9D" w:rsidRDefault="006B5F9D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067F">
      <w:rPr>
        <w:rStyle w:val="ab"/>
        <w:noProof/>
      </w:rPr>
      <w:t>6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4"/>
    <w:rsid w:val="000A3F1F"/>
    <w:rsid w:val="000B07A3"/>
    <w:rsid w:val="00115933"/>
    <w:rsid w:val="001203F5"/>
    <w:rsid w:val="00125784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3021B7"/>
    <w:rsid w:val="00314A80"/>
    <w:rsid w:val="00325AEB"/>
    <w:rsid w:val="003F2918"/>
    <w:rsid w:val="00433F0D"/>
    <w:rsid w:val="00490F36"/>
    <w:rsid w:val="0053189E"/>
    <w:rsid w:val="00541D4F"/>
    <w:rsid w:val="005739F6"/>
    <w:rsid w:val="00580DB4"/>
    <w:rsid w:val="00590675"/>
    <w:rsid w:val="00592F43"/>
    <w:rsid w:val="00615EC2"/>
    <w:rsid w:val="00642480"/>
    <w:rsid w:val="00643165"/>
    <w:rsid w:val="006770FA"/>
    <w:rsid w:val="006B5F9D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8332D9"/>
    <w:rsid w:val="00875B19"/>
    <w:rsid w:val="008C1BCD"/>
    <w:rsid w:val="008D4050"/>
    <w:rsid w:val="008E5097"/>
    <w:rsid w:val="009009CF"/>
    <w:rsid w:val="009A21EE"/>
    <w:rsid w:val="009A2242"/>
    <w:rsid w:val="009B5271"/>
    <w:rsid w:val="009D4953"/>
    <w:rsid w:val="00A44AE6"/>
    <w:rsid w:val="00A72FA9"/>
    <w:rsid w:val="00A8073C"/>
    <w:rsid w:val="00AA21B1"/>
    <w:rsid w:val="00AD7C0D"/>
    <w:rsid w:val="00AF3B93"/>
    <w:rsid w:val="00B05D1F"/>
    <w:rsid w:val="00B1631F"/>
    <w:rsid w:val="00B5222E"/>
    <w:rsid w:val="00B72774"/>
    <w:rsid w:val="00B93993"/>
    <w:rsid w:val="00BF046F"/>
    <w:rsid w:val="00C20BB7"/>
    <w:rsid w:val="00C3189E"/>
    <w:rsid w:val="00C35525"/>
    <w:rsid w:val="00C546DC"/>
    <w:rsid w:val="00CA3B28"/>
    <w:rsid w:val="00CB2815"/>
    <w:rsid w:val="00CD3935"/>
    <w:rsid w:val="00CF005E"/>
    <w:rsid w:val="00D16A3E"/>
    <w:rsid w:val="00D8067F"/>
    <w:rsid w:val="00DB1179"/>
    <w:rsid w:val="00DB34C2"/>
    <w:rsid w:val="00DD3BA7"/>
    <w:rsid w:val="00DD5B97"/>
    <w:rsid w:val="00DE28A0"/>
    <w:rsid w:val="00E27566"/>
    <w:rsid w:val="00E56BD9"/>
    <w:rsid w:val="00E63830"/>
    <w:rsid w:val="00EB34E5"/>
    <w:rsid w:val="00EB5C8A"/>
    <w:rsid w:val="00EB60A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63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6558</TotalTime>
  <Pages>7</Pages>
  <Words>1822</Words>
  <Characters>14267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Дина</cp:lastModifiedBy>
  <cp:revision>33</cp:revision>
  <cp:lastPrinted>2024-02-29T12:42:00Z</cp:lastPrinted>
  <dcterms:created xsi:type="dcterms:W3CDTF">2023-11-25T11:07:00Z</dcterms:created>
  <dcterms:modified xsi:type="dcterms:W3CDTF">2024-03-01T06:35:00Z</dcterms:modified>
</cp:coreProperties>
</file>